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E7E" w:rsidRDefault="00A2573D">
      <w:bookmarkStart w:id="0" w:name="_GoBack"/>
      <w:bookmarkEnd w:id="0"/>
      <w:r>
        <w:t>Running Head: ECONOMIC IMPACT &amp; WHITEWATER COURSES</w:t>
      </w:r>
    </w:p>
    <w:p w:rsidR="005D1BC6" w:rsidRDefault="005D1BC6"/>
    <w:p w:rsidR="00B77130" w:rsidRDefault="00B77130"/>
    <w:p w:rsidR="005D1BC6" w:rsidRDefault="005D1BC6"/>
    <w:p w:rsidR="005D1BC6" w:rsidRDefault="00BC56F6" w:rsidP="005D1BC6">
      <w:pPr>
        <w:jc w:val="center"/>
      </w:pPr>
      <w:proofErr w:type="spellStart"/>
      <w:r>
        <w:t>White</w:t>
      </w:r>
      <w:r w:rsidR="005D1BC6">
        <w:t>Water</w:t>
      </w:r>
      <w:proofErr w:type="spellEnd"/>
      <w:r w:rsidR="005D1BC6">
        <w:t xml:space="preserve"> Courses, Economic Impact, and Public Perceptions in Bowling Green Kentucky</w:t>
      </w:r>
    </w:p>
    <w:p w:rsidR="005D1BC6" w:rsidRDefault="005D1BC6" w:rsidP="005D1BC6">
      <w:pPr>
        <w:jc w:val="center"/>
      </w:pPr>
    </w:p>
    <w:p w:rsidR="005D1BC6" w:rsidRDefault="00BC56F6" w:rsidP="005D1BC6">
      <w:pPr>
        <w:jc w:val="center"/>
      </w:pPr>
      <w:r>
        <w:t xml:space="preserve">Dr. Bruce A. Larson, </w:t>
      </w:r>
      <w:r w:rsidR="00B90339">
        <w:t xml:space="preserve">Dr. Ron </w:t>
      </w:r>
      <w:proofErr w:type="spellStart"/>
      <w:r w:rsidR="00B90339">
        <w:t>Ramsing</w:t>
      </w:r>
      <w:proofErr w:type="spellEnd"/>
      <w:r>
        <w:t xml:space="preserve">, &amp; Dr. Tammie </w:t>
      </w:r>
      <w:proofErr w:type="spellStart"/>
      <w:r>
        <w:t>Stenger</w:t>
      </w:r>
      <w:proofErr w:type="spellEnd"/>
      <w:r>
        <w:t>-Ramsey</w:t>
      </w:r>
    </w:p>
    <w:p w:rsidR="005D1BC6" w:rsidRDefault="005D1BC6" w:rsidP="005D1BC6">
      <w:pPr>
        <w:jc w:val="center"/>
      </w:pPr>
    </w:p>
    <w:p w:rsidR="005D1BC6" w:rsidRDefault="005D1BC6" w:rsidP="005D1BC6">
      <w:pPr>
        <w:jc w:val="center"/>
      </w:pPr>
      <w:r>
        <w:t>Western Kentucky University</w:t>
      </w:r>
    </w:p>
    <w:p w:rsidR="00B976FD" w:rsidRDefault="00B976FD" w:rsidP="005D1BC6">
      <w:pPr>
        <w:jc w:val="center"/>
      </w:pPr>
    </w:p>
    <w:p w:rsidR="00B976FD" w:rsidRDefault="00B976FD" w:rsidP="005D1BC6">
      <w:pPr>
        <w:jc w:val="center"/>
      </w:pPr>
    </w:p>
    <w:p w:rsidR="00B976FD" w:rsidRDefault="00B976FD" w:rsidP="005D1BC6">
      <w:pPr>
        <w:jc w:val="center"/>
      </w:pPr>
    </w:p>
    <w:p w:rsidR="00B976FD" w:rsidRDefault="00B976FD" w:rsidP="005D1BC6">
      <w:pPr>
        <w:jc w:val="center"/>
      </w:pPr>
    </w:p>
    <w:p w:rsidR="00B976FD" w:rsidRDefault="00B976FD" w:rsidP="00B976FD">
      <w:pPr>
        <w:spacing w:line="480" w:lineRule="auto"/>
        <w:jc w:val="center"/>
      </w:pPr>
      <w:r>
        <w:t>Introduction and Literature Review</w:t>
      </w:r>
    </w:p>
    <w:p w:rsidR="0005488F" w:rsidRDefault="00227D1F" w:rsidP="0005488F">
      <w:pPr>
        <w:spacing w:line="480" w:lineRule="auto"/>
        <w:ind w:firstLine="360"/>
      </w:pPr>
      <w:r>
        <w:t>In an era whe</w:t>
      </w:r>
      <w:r w:rsidR="00000A05">
        <w:t>re</w:t>
      </w:r>
      <w:r>
        <w:t xml:space="preserve"> </w:t>
      </w:r>
      <w:r w:rsidR="0005488F">
        <w:t>scarce resources</w:t>
      </w:r>
      <w:r>
        <w:t xml:space="preserve"> often </w:t>
      </w:r>
      <w:r w:rsidR="0005488F">
        <w:t>dictate</w:t>
      </w:r>
      <w:r>
        <w:t xml:space="preserve"> </w:t>
      </w:r>
      <w:r w:rsidR="00211FEC">
        <w:t xml:space="preserve">changes in </w:t>
      </w:r>
      <w:r>
        <w:t xml:space="preserve">services and the need for transparency and accountability of public monies </w:t>
      </w:r>
      <w:r w:rsidR="000850B0">
        <w:t>becomes</w:t>
      </w:r>
      <w:r>
        <w:t xml:space="preserve"> paramount, the ability to secure additional resources that translates into better services for a community becomes </w:t>
      </w:r>
      <w:r w:rsidR="00211FEC">
        <w:t>a beacon of hope</w:t>
      </w:r>
      <w:r>
        <w:t xml:space="preserve">. </w:t>
      </w:r>
      <w:r w:rsidR="0005488F">
        <w:t xml:space="preserve"> The essence of parks and recreation is the ability to </w:t>
      </w:r>
      <w:r w:rsidR="00697A94">
        <w:t>serve</w:t>
      </w:r>
      <w:r w:rsidR="0005488F">
        <w:t xml:space="preserve"> the public.  While there are </w:t>
      </w:r>
      <w:r w:rsidR="00697A94">
        <w:t>best practices</w:t>
      </w:r>
      <w:r w:rsidR="001D6116">
        <w:t xml:space="preserve"> in</w:t>
      </w:r>
      <w:r w:rsidR="0005488F">
        <w:t xml:space="preserve"> how best to serve the needs of the public, one common </w:t>
      </w:r>
      <w:r w:rsidR="00697A94">
        <w:t>sense approach suggests</w:t>
      </w:r>
      <w:r w:rsidR="0005488F">
        <w:t xml:space="preserve"> </w:t>
      </w:r>
      <w:r w:rsidR="001D6116">
        <w:t>utilizing</w:t>
      </w:r>
      <w:r w:rsidR="0005488F">
        <w:t xml:space="preserve"> existing physical resources </w:t>
      </w:r>
      <w:r w:rsidR="001D6116">
        <w:t>while simultaneously</w:t>
      </w:r>
      <w:r w:rsidR="0005488F">
        <w:t xml:space="preserve"> </w:t>
      </w:r>
      <w:r w:rsidR="00697A94">
        <w:t>gauging</w:t>
      </w:r>
      <w:r w:rsidR="0005488F">
        <w:t xml:space="preserve"> the needs</w:t>
      </w:r>
      <w:r w:rsidR="00697A94">
        <w:t xml:space="preserve"> [perceptions]</w:t>
      </w:r>
      <w:r w:rsidR="0005488F">
        <w:t xml:space="preserve"> o</w:t>
      </w:r>
      <w:r w:rsidR="00211FEC">
        <w:t>f</w:t>
      </w:r>
      <w:r w:rsidR="0005488F">
        <w:t xml:space="preserve"> the constituency</w:t>
      </w:r>
      <w:r w:rsidR="00000A05">
        <w:t xml:space="preserve"> (</w:t>
      </w:r>
      <w:r w:rsidR="00093C73" w:rsidRPr="00093C73">
        <w:t xml:space="preserve">Jordan, </w:t>
      </w:r>
      <w:proofErr w:type="spellStart"/>
      <w:r w:rsidR="00093C73" w:rsidRPr="00093C73">
        <w:t>DeGraaf</w:t>
      </w:r>
      <w:proofErr w:type="spellEnd"/>
      <w:r w:rsidR="00093C73" w:rsidRPr="00093C73">
        <w:t xml:space="preserve">, &amp; </w:t>
      </w:r>
      <w:proofErr w:type="spellStart"/>
      <w:r w:rsidR="00093C73" w:rsidRPr="00093C73">
        <w:t>DeGraaf</w:t>
      </w:r>
      <w:proofErr w:type="spellEnd"/>
      <w:r w:rsidR="00093C73" w:rsidRPr="00093C73">
        <w:t>, 200</w:t>
      </w:r>
      <w:r w:rsidR="004520C1">
        <w:t>5</w:t>
      </w:r>
      <w:r w:rsidR="00000A05">
        <w:t>)</w:t>
      </w:r>
      <w:r w:rsidR="0005488F">
        <w:t xml:space="preserve">.   Implied in this approach is the ability to foreshadow </w:t>
      </w:r>
      <w:r w:rsidR="00211FEC">
        <w:t xml:space="preserve">changing interests and separate </w:t>
      </w:r>
      <w:r w:rsidR="0005488F">
        <w:t>emerging trends</w:t>
      </w:r>
      <w:r w:rsidR="00211FEC">
        <w:t xml:space="preserve"> from short lived fads</w:t>
      </w:r>
      <w:r w:rsidR="0005488F">
        <w:t xml:space="preserve">.  </w:t>
      </w:r>
      <w:r w:rsidR="00211FEC">
        <w:t xml:space="preserve">This differentiation between trends and fads becomes essential </w:t>
      </w:r>
      <w:r w:rsidR="001D6116">
        <w:t>for</w:t>
      </w:r>
      <w:r w:rsidR="00211FEC">
        <w:t xml:space="preserve"> parks and recreation professional</w:t>
      </w:r>
      <w:r w:rsidR="00000A05">
        <w:t>s</w:t>
      </w:r>
      <w:r w:rsidR="00211FEC">
        <w:t xml:space="preserve"> have a fiduciary responsibility that includes </w:t>
      </w:r>
      <w:r w:rsidR="001D6116">
        <w:t>an idea</w:t>
      </w:r>
      <w:r w:rsidR="00697A94">
        <w:t>l</w:t>
      </w:r>
      <w:r w:rsidR="001D6116">
        <w:t xml:space="preserve"> of exceeding the </w:t>
      </w:r>
      <w:r w:rsidR="00667DBA">
        <w:t>public’s</w:t>
      </w:r>
      <w:r w:rsidR="001D6116">
        <w:t xml:space="preserve"> expectations</w:t>
      </w:r>
      <w:r w:rsidR="0005488F">
        <w:t>.</w:t>
      </w:r>
    </w:p>
    <w:p w:rsidR="001862EB" w:rsidRDefault="001862EB" w:rsidP="0005488F">
      <w:pPr>
        <w:spacing w:line="480" w:lineRule="auto"/>
        <w:ind w:firstLine="360"/>
      </w:pPr>
      <w:r>
        <w:t xml:space="preserve">For recreationalists, Kentucky is a tourist destination with paddle sports being a </w:t>
      </w:r>
      <w:r w:rsidR="00EB10A8">
        <w:t xml:space="preserve">natural </w:t>
      </w:r>
      <w:r>
        <w:t xml:space="preserve">draw.  With over </w:t>
      </w:r>
      <w:r w:rsidR="00061E44">
        <w:t xml:space="preserve">114 navigable river miles </w:t>
      </w:r>
      <w:r>
        <w:t xml:space="preserve">the state </w:t>
      </w:r>
      <w:r w:rsidR="00000A05">
        <w:t xml:space="preserve">is </w:t>
      </w:r>
      <w:r w:rsidR="001D6116">
        <w:t>uniquely pos</w:t>
      </w:r>
      <w:r w:rsidR="000850B0">
        <w:t>itioned to respond and exceed</w:t>
      </w:r>
      <w:r w:rsidR="001D6116">
        <w:t xml:space="preserve"> </w:t>
      </w:r>
      <w:r w:rsidR="000E08EF">
        <w:t xml:space="preserve">the </w:t>
      </w:r>
      <w:r w:rsidR="001D6116">
        <w:t xml:space="preserve">needs of </w:t>
      </w:r>
      <w:r>
        <w:t xml:space="preserve">paddle sport enthusiasts.   </w:t>
      </w:r>
      <w:r w:rsidR="00000A05">
        <w:t>One particular draw</w:t>
      </w:r>
      <w:r w:rsidR="00697A94">
        <w:t xml:space="preserve"> </w:t>
      </w:r>
      <w:r w:rsidR="00000A05">
        <w:t>for pa</w:t>
      </w:r>
      <w:r w:rsidR="00061E44">
        <w:t>ddle sport enthusiasts are white</w:t>
      </w:r>
      <w:r w:rsidR="00000A05">
        <w:t>water</w:t>
      </w:r>
      <w:r w:rsidR="00061E44">
        <w:t xml:space="preserve"> elements within the navigable rivers</w:t>
      </w:r>
      <w:r w:rsidR="00000A05">
        <w:t xml:space="preserve">.  </w:t>
      </w:r>
      <w:r>
        <w:t xml:space="preserve">Bowling Green, KY, the fourth largest city in Kentucky at nearly 60,000 people, is uniquely positioned to capitalize on </w:t>
      </w:r>
      <w:r w:rsidR="001D6116">
        <w:t>an existing physical resource</w:t>
      </w:r>
      <w:r>
        <w:t xml:space="preserve">.  Nestled just off a major north south interstate, flowing through Bowling Green is the </w:t>
      </w:r>
      <w:r>
        <w:lastRenderedPageBreak/>
        <w:t>meandering</w:t>
      </w:r>
      <w:r w:rsidR="009D1764">
        <w:t xml:space="preserve"> </w:t>
      </w:r>
      <w:r w:rsidR="00E70F67">
        <w:t>Barren</w:t>
      </w:r>
      <w:r w:rsidR="009D1764">
        <w:t xml:space="preserve"> River; a river prime for white water</w:t>
      </w:r>
      <w:r w:rsidR="00697A94">
        <w:t xml:space="preserve"> due to existing physical features</w:t>
      </w:r>
      <w:r w:rsidR="009D1764">
        <w:t xml:space="preserve">.  </w:t>
      </w:r>
      <w:r w:rsidR="00697A94">
        <w:t>With close proximity to several</w:t>
      </w:r>
      <w:r w:rsidR="009D1764">
        <w:t xml:space="preserve"> major metropolitan areas (Nashville, TN; Louisville, </w:t>
      </w:r>
      <w:r w:rsidR="00E70F67">
        <w:t xml:space="preserve">&amp; Lexington </w:t>
      </w:r>
      <w:r w:rsidR="009D1764">
        <w:t xml:space="preserve">KY), </w:t>
      </w:r>
      <w:r w:rsidR="009D1764" w:rsidRPr="00697A94">
        <w:t>Bowling Green is uniquely positioned to capture a large untapped</w:t>
      </w:r>
      <w:r w:rsidR="00697A94">
        <w:t xml:space="preserve"> audience</w:t>
      </w:r>
      <w:proofErr w:type="gramStart"/>
      <w:r w:rsidR="00F82262">
        <w:t>;</w:t>
      </w:r>
      <w:proofErr w:type="gramEnd"/>
      <w:r w:rsidR="00F82262">
        <w:t xml:space="preserve"> white water enthusiasts</w:t>
      </w:r>
      <w:r w:rsidR="001D6116">
        <w:t>.</w:t>
      </w:r>
    </w:p>
    <w:p w:rsidR="00283724" w:rsidRDefault="00F82262" w:rsidP="00336F63">
      <w:pPr>
        <w:spacing w:line="480" w:lineRule="auto"/>
        <w:ind w:firstLine="360"/>
      </w:pPr>
      <w:r w:rsidRPr="00F82262">
        <w:t xml:space="preserve">The benefits of enhanced river recreation on a region are significant.  The economic benefits through direct, </w:t>
      </w:r>
      <w:r>
        <w:t>indirect,</w:t>
      </w:r>
      <w:r w:rsidRPr="00F82262">
        <w:t xml:space="preserve"> an</w:t>
      </w:r>
      <w:r>
        <w:t>d</w:t>
      </w:r>
      <w:r w:rsidRPr="00F82262">
        <w:t xml:space="preserve"> induce</w:t>
      </w:r>
      <w:r w:rsidR="00336F63">
        <w:t>d</w:t>
      </w:r>
      <w:r w:rsidRPr="00F82262">
        <w:t xml:space="preserve"> effects are well established (Cordell, Bergstrom, Ashley, &amp; </w:t>
      </w:r>
      <w:proofErr w:type="spellStart"/>
      <w:r w:rsidRPr="00F82262">
        <w:t>Karish</w:t>
      </w:r>
      <w:proofErr w:type="spellEnd"/>
      <w:r w:rsidRPr="00F82262">
        <w:t xml:space="preserve">, 1990).  </w:t>
      </w:r>
      <w:r w:rsidR="00336F63">
        <w:t xml:space="preserve">Direct effects include the day to day spending tourists or participants of particular feature infuse into a local economy.  Indirect benefits include the secondary purchases businesses make to meet the needs of their clientele.  Finally, the induced effect if a regional draw includes enhancing the incomes of local residents and their subsequent spending in the local economy.  </w:t>
      </w:r>
    </w:p>
    <w:p w:rsidR="00512290" w:rsidRDefault="00336F63" w:rsidP="0018101B">
      <w:pPr>
        <w:spacing w:line="480" w:lineRule="auto"/>
        <w:ind w:firstLine="360"/>
      </w:pPr>
      <w:r w:rsidRPr="00336F63">
        <w:t>There are also indirect benefits of river recreation that may not immediately translate into an economic boom</w:t>
      </w:r>
      <w:r>
        <w:t xml:space="preserve"> – the repositioning of parks and recreation</w:t>
      </w:r>
      <w:r w:rsidRPr="00336F63">
        <w:t>.  One of these benefits includes the</w:t>
      </w:r>
      <w:r w:rsidR="001D5010" w:rsidRPr="00336F63">
        <w:t xml:space="preserve"> repositioning</w:t>
      </w:r>
      <w:r w:rsidRPr="00336F63">
        <w:t xml:space="preserve"> of</w:t>
      </w:r>
      <w:r w:rsidR="001D5010" w:rsidRPr="00336F63">
        <w:t xml:space="preserve"> parks and recreation in the community.</w:t>
      </w:r>
      <w:r w:rsidR="00475E9F">
        <w:t xml:space="preserve">  </w:t>
      </w:r>
      <w:r>
        <w:t xml:space="preserve">“Positioning refers to the place that parks and recreation occupies in the minds of elected officials, … business, … and the general public relative to their perception of other services that are vying for public tax dollars” (Crompton, 1999).  </w:t>
      </w:r>
      <w:r w:rsidR="00475E9F">
        <w:t xml:space="preserve">Elected official and business leaders are often challenged to make </w:t>
      </w:r>
      <w:r w:rsidR="000F51FF">
        <w:t xml:space="preserve">difficult </w:t>
      </w:r>
      <w:r w:rsidR="00475E9F">
        <w:t xml:space="preserve">decisions that will benefit individual </w:t>
      </w:r>
      <w:r w:rsidR="001D6116">
        <w:t>and</w:t>
      </w:r>
      <w:r w:rsidR="000F51FF">
        <w:t xml:space="preserve"> community</w:t>
      </w:r>
      <w:r w:rsidR="001D6116">
        <w:t xml:space="preserve"> interests</w:t>
      </w:r>
      <w:r w:rsidR="000F51FF">
        <w:t xml:space="preserve">.  </w:t>
      </w:r>
      <w:r w:rsidR="001D6116">
        <w:t>While parks and recreation appears to be well positioned to meet and exceed community needs, h</w:t>
      </w:r>
      <w:r w:rsidR="00A43AD5">
        <w:t xml:space="preserve">istorically, </w:t>
      </w:r>
      <w:r w:rsidR="001D6116">
        <w:t>the industry</w:t>
      </w:r>
      <w:r w:rsidR="00A43AD5">
        <w:t xml:space="preserve"> lacks political clout (</w:t>
      </w:r>
      <w:proofErr w:type="spellStart"/>
      <w:r w:rsidR="00A43AD5">
        <w:t>Glyptis</w:t>
      </w:r>
      <w:proofErr w:type="spellEnd"/>
      <w:r w:rsidR="00A43AD5">
        <w:t xml:space="preserve">, 1989) and is often at the mercy of elected officials who view other public entities </w:t>
      </w:r>
      <w:r>
        <w:t>as</w:t>
      </w:r>
      <w:r w:rsidR="00A43AD5">
        <w:t xml:space="preserve"> being </w:t>
      </w:r>
      <w:r w:rsidR="001D6116">
        <w:t>more important</w:t>
      </w:r>
      <w:r w:rsidR="00A43AD5">
        <w:t xml:space="preserve">. </w:t>
      </w:r>
      <w:r w:rsidR="001D6116">
        <w:t xml:space="preserve"> </w:t>
      </w:r>
      <w:r>
        <w:t xml:space="preserve">With grassroots support, </w:t>
      </w:r>
      <w:r w:rsidR="000F51FF">
        <w:t>parks and recreation may be repositioned</w:t>
      </w:r>
      <w:r w:rsidR="0018101B">
        <w:t xml:space="preserve"> to be competitive with other essential services within a community (e.g. fire, police).</w:t>
      </w:r>
      <w:r w:rsidR="000F51FF">
        <w:t xml:space="preserve">  </w:t>
      </w:r>
    </w:p>
    <w:p w:rsidR="000F51FF" w:rsidRDefault="0059340B" w:rsidP="0005488F">
      <w:pPr>
        <w:spacing w:line="480" w:lineRule="auto"/>
        <w:ind w:firstLine="360"/>
      </w:pPr>
      <w:r>
        <w:lastRenderedPageBreak/>
        <w:t>While the</w:t>
      </w:r>
      <w:r w:rsidR="000F51FF">
        <w:t xml:space="preserve"> long held </w:t>
      </w:r>
      <w:r w:rsidR="00A43AD5">
        <w:t>belief</w:t>
      </w:r>
      <w:r w:rsidR="000F51FF">
        <w:t xml:space="preserve"> that</w:t>
      </w:r>
      <w:r>
        <w:t xml:space="preserve"> the mission of municipal</w:t>
      </w:r>
      <w:r w:rsidR="000F51FF">
        <w:t xml:space="preserve"> parks </w:t>
      </w:r>
      <w:r w:rsidR="00A43AD5">
        <w:t>and</w:t>
      </w:r>
      <w:r w:rsidR="000F51FF">
        <w:t xml:space="preserve"> recreation </w:t>
      </w:r>
      <w:r w:rsidR="00A43AD5">
        <w:t xml:space="preserve">is to </w:t>
      </w:r>
      <w:r w:rsidR="00697A94">
        <w:t>address</w:t>
      </w:r>
      <w:r w:rsidR="00A43AD5">
        <w:t xml:space="preserve"> community </w:t>
      </w:r>
      <w:r w:rsidR="0018101B">
        <w:t>challenges</w:t>
      </w:r>
      <w:r>
        <w:t xml:space="preserve"> and enhance overall quality</w:t>
      </w:r>
      <w:r w:rsidR="0018101B">
        <w:t xml:space="preserve"> (e.g. beautification</w:t>
      </w:r>
      <w:r w:rsidR="0056637D">
        <w:t>, social ills</w:t>
      </w:r>
      <w:r w:rsidR="0018101B">
        <w:t>)</w:t>
      </w:r>
      <w:r>
        <w:t>, for successful repositioning, parks and recreation must also be seen as a force for contributing to economic development of a community.  A white water course would:</w:t>
      </w:r>
      <w:r w:rsidRPr="0059340B">
        <w:t xml:space="preserve"> </w:t>
      </w:r>
      <w:r>
        <w:t xml:space="preserve">attract tourists, participants and spectators alike; attract businesses that view community vitality and progressive parks and recreation as a selling point for relocation to the community of Bowling Green; enhance real-estate values through the increase of green space accompanying a white water course; </w:t>
      </w:r>
      <w:r w:rsidR="0018101B">
        <w:t>possibly expand</w:t>
      </w:r>
      <w:r>
        <w:t xml:space="preserve"> retail sales and equipment by catering to the needs of participants (e.g. equipment) and spectators (e.g. food); </w:t>
      </w:r>
      <w:r w:rsidR="0018101B">
        <w:t xml:space="preserve">and possibly </w:t>
      </w:r>
      <w:r>
        <w:t>help in stimulating urban rejuvenation due to the proximity of historical downtown Bowling G</w:t>
      </w:r>
      <w:r w:rsidR="0018101B">
        <w:t xml:space="preserve">reen to the white water course.  Parks and recreation plays a vital role in any community and with intention, can be highly influential when </w:t>
      </w:r>
      <w:r w:rsidR="00283724">
        <w:t xml:space="preserve">examined from a directed and indirect benefits perspective.  </w:t>
      </w:r>
      <w:r w:rsidR="0018101B">
        <w:t xml:space="preserve">  </w:t>
      </w:r>
    </w:p>
    <w:p w:rsidR="00445099" w:rsidRDefault="00391421" w:rsidP="00433EE3">
      <w:pPr>
        <w:spacing w:line="480" w:lineRule="auto"/>
        <w:ind w:firstLine="360"/>
      </w:pPr>
      <w:r>
        <w:t>While r</w:t>
      </w:r>
      <w:r w:rsidRPr="00F00910">
        <w:t xml:space="preserve">epositioning </w:t>
      </w:r>
      <w:r>
        <w:t xml:space="preserve">may be a natural </w:t>
      </w:r>
      <w:r w:rsidR="00697A94">
        <w:t>result</w:t>
      </w:r>
      <w:r>
        <w:t xml:space="preserve"> of a successful endeavor</w:t>
      </w:r>
      <w:r w:rsidR="000B4DD9">
        <w:t xml:space="preserve"> where economic sustainability is achieved</w:t>
      </w:r>
      <w:r w:rsidR="00697A94">
        <w:t xml:space="preserve"> or surpassed</w:t>
      </w:r>
      <w:r>
        <w:t xml:space="preserve"> (e.g. expansion of programs </w:t>
      </w:r>
      <w:r w:rsidR="000B4DD9">
        <w:t>to meet</w:t>
      </w:r>
      <w:r>
        <w:t xml:space="preserve"> a particular need)</w:t>
      </w:r>
      <w:r w:rsidR="000B4DD9">
        <w:t>, assessing the economic impact, public perception, and viability of prospective initiative (e.g. white water course) can</w:t>
      </w:r>
      <w:r w:rsidR="007873FF">
        <w:t xml:space="preserve"> be</w:t>
      </w:r>
      <w:r w:rsidR="000B4DD9">
        <w:t xml:space="preserve"> daunting.  A </w:t>
      </w:r>
      <w:r w:rsidR="007873FF">
        <w:t xml:space="preserve">natural </w:t>
      </w:r>
      <w:r w:rsidR="000B4DD9">
        <w:t xml:space="preserve">starting point becomes the examination of previous </w:t>
      </w:r>
      <w:r w:rsidR="0056637D">
        <w:t>work</w:t>
      </w:r>
      <w:r w:rsidR="000B4DD9">
        <w:t xml:space="preserve"> used to discern the economic impact of river recreation on local economics.  </w:t>
      </w:r>
      <w:r w:rsidR="007873FF">
        <w:t xml:space="preserve">Valuation of </w:t>
      </w:r>
      <w:r w:rsidR="001C512F">
        <w:t>ecosystems</w:t>
      </w:r>
      <w:r w:rsidR="007873FF">
        <w:t xml:space="preserve"> is challenging and perhaps “controversial because of the potential importance such values may have in influencing public opinion and policy decisions” (Loomis, Kent, Strange, </w:t>
      </w:r>
      <w:proofErr w:type="spellStart"/>
      <w:r w:rsidR="007873FF">
        <w:t>Fausch</w:t>
      </w:r>
      <w:proofErr w:type="spellEnd"/>
      <w:r w:rsidR="007873FF">
        <w:t xml:space="preserve">, &amp; </w:t>
      </w:r>
      <w:proofErr w:type="spellStart"/>
      <w:r w:rsidR="007873FF">
        <w:t>Covich</w:t>
      </w:r>
      <w:proofErr w:type="spellEnd"/>
      <w:r w:rsidR="007873FF">
        <w:t xml:space="preserve">, 2000, p. 103).  </w:t>
      </w:r>
      <w:r w:rsidR="0056637D">
        <w:t>Yet, there is substantive work that demonstrates that the river recreation industry contributes to the “economic output, income and employment in the, respective regions</w:t>
      </w:r>
      <w:r w:rsidR="00BC1270">
        <w:t>”</w:t>
      </w:r>
      <w:r w:rsidR="0056637D">
        <w:t xml:space="preserve"> (</w:t>
      </w:r>
      <w:proofErr w:type="spellStart"/>
      <w:r w:rsidR="0056637D">
        <w:t>Helvoigt</w:t>
      </w:r>
      <w:proofErr w:type="spellEnd"/>
      <w:r w:rsidR="0056637D">
        <w:t xml:space="preserve">, </w:t>
      </w:r>
      <w:proofErr w:type="spellStart"/>
      <w:r w:rsidR="0056637D">
        <w:t>Neculae</w:t>
      </w:r>
      <w:proofErr w:type="spellEnd"/>
      <w:r w:rsidR="0056637D">
        <w:t>, Josephson, &amp; Charlton, 2008, p. 10</w:t>
      </w:r>
      <w:r w:rsidR="00283724">
        <w:t xml:space="preserve"> see also Cordell, Bergstrom, Ashley, &amp; </w:t>
      </w:r>
      <w:proofErr w:type="spellStart"/>
      <w:r w:rsidR="00283724">
        <w:t>Karish</w:t>
      </w:r>
      <w:proofErr w:type="spellEnd"/>
      <w:r w:rsidR="00283724">
        <w:t>, 1990</w:t>
      </w:r>
      <w:r w:rsidR="0056637D">
        <w:t>).</w:t>
      </w:r>
      <w:r w:rsidR="00BC1270">
        <w:t xml:space="preserve">  </w:t>
      </w:r>
    </w:p>
    <w:p w:rsidR="00953EAE" w:rsidRDefault="00BC1270" w:rsidP="00433EE3">
      <w:pPr>
        <w:spacing w:line="480" w:lineRule="auto"/>
        <w:ind w:firstLine="360"/>
      </w:pPr>
      <w:proofErr w:type="spellStart"/>
      <w:r>
        <w:lastRenderedPageBreak/>
        <w:t>Helvoigt</w:t>
      </w:r>
      <w:proofErr w:type="spellEnd"/>
      <w:r>
        <w:t xml:space="preserve"> et al summarize research on the econ</w:t>
      </w:r>
      <w:r w:rsidR="00F51A6B">
        <w:t>omic impact of commercial white</w:t>
      </w:r>
      <w:r>
        <w:t>water rafting suggesting that whitewater recreation “provides a positive stimulus to the local economics through direct, indirect and induced economic effects” (p. 12).</w:t>
      </w:r>
      <w:r w:rsidR="00366B12">
        <w:t xml:space="preserve">  </w:t>
      </w:r>
      <w:r w:rsidR="00953EAE">
        <w:t xml:space="preserve">For example, in a study to determine the economic effects of river recreation on local economies, Cordell and colleagues found that visitor spending positively stimulated community growth (1990).  Adjusted for inflation and reported in 2009 dollars, Cordell and colleagues reported that river recreation resulted in total gross output of between $4.2 and $21.7 million.  For a complete understanding, the output range resulted in total income of between $1.94and $9.05 million while employment in the region increased by 20.5 percent.  </w:t>
      </w:r>
      <w:r w:rsidR="00445099">
        <w:t xml:space="preserve">The economic indicators are derived from river recreation were from three National park Service sites in </w:t>
      </w:r>
      <w:r w:rsidR="008D6D6B">
        <w:t>Delaware and West Virginia</w:t>
      </w:r>
      <w:r w:rsidR="00445099">
        <w:t>.</w:t>
      </w:r>
    </w:p>
    <w:p w:rsidR="00953EAE" w:rsidRDefault="00F82DBC" w:rsidP="00433EE3">
      <w:pPr>
        <w:spacing w:line="480" w:lineRule="auto"/>
        <w:ind w:firstLine="360"/>
      </w:pPr>
      <w:r>
        <w:t>While the economic impact of river recreation appears promising for total output, income</w:t>
      </w:r>
      <w:r w:rsidR="007E1B90">
        <w:t>,</w:t>
      </w:r>
      <w:r>
        <w:t xml:space="preserve"> and employment opportunities</w:t>
      </w:r>
      <w:r w:rsidR="007E1B90">
        <w:t xml:space="preserve">, the research may not completely capture the complexity associated with determining river recreation influences.  </w:t>
      </w:r>
      <w:r>
        <w:t xml:space="preserve"> Yet </w:t>
      </w:r>
      <w:r w:rsidR="00953EAE">
        <w:t>challenges</w:t>
      </w:r>
      <w:r>
        <w:t xml:space="preserve"> remain in</w:t>
      </w:r>
      <w:r w:rsidR="00953EAE">
        <w:t xml:space="preserve"> </w:t>
      </w:r>
      <w:r w:rsidR="00E35A82">
        <w:t>determining</w:t>
      </w:r>
      <w:r w:rsidR="00953EAE">
        <w:t xml:space="preserve"> </w:t>
      </w:r>
      <w:r>
        <w:t>a comprehens</w:t>
      </w:r>
      <w:r w:rsidR="0032794A">
        <w:t>ive economic impact.  Sims (2002</w:t>
      </w:r>
      <w:r>
        <w:t xml:space="preserve">) suggests that many river recreation studies underestimate </w:t>
      </w:r>
      <w:r w:rsidR="00953EAE">
        <w:t xml:space="preserve">total impact due to </w:t>
      </w:r>
      <w:r w:rsidR="00E35A82">
        <w:t>inadequate measurement of</w:t>
      </w:r>
      <w:r w:rsidR="00953EAE">
        <w:t xml:space="preserve"> throughputs </w:t>
      </w:r>
      <w:r w:rsidR="00E35A82">
        <w:t>of</w:t>
      </w:r>
      <w:r w:rsidR="00953EAE">
        <w:t xml:space="preserve"> a destination</w:t>
      </w:r>
      <w:r w:rsidR="00E35A82">
        <w:t xml:space="preserve"> (e.g. economic impact in a state as</w:t>
      </w:r>
      <w:r w:rsidR="00511277">
        <w:t xml:space="preserve"> tourists drive to river recreation destination)</w:t>
      </w:r>
      <w:r w:rsidR="00953EAE">
        <w:t xml:space="preserve"> or the influence of local private users.  In an attempt to ascertain a more comprehensive look of economic impact due to river recr</w:t>
      </w:r>
      <w:r w:rsidR="00181244">
        <w:t xml:space="preserve">eation, English and </w:t>
      </w:r>
      <w:proofErr w:type="spellStart"/>
      <w:r w:rsidR="00181244">
        <w:t>Bowker</w:t>
      </w:r>
      <w:proofErr w:type="spellEnd"/>
      <w:r w:rsidR="00181244">
        <w:t xml:space="preserve"> (1996</w:t>
      </w:r>
      <w:r w:rsidR="00953EAE">
        <w:t>) estimated statewide economic benefits.</w:t>
      </w:r>
      <w:r w:rsidR="00511277">
        <w:t xml:space="preserve">  </w:t>
      </w:r>
      <w:r w:rsidR="003B1536">
        <w:t xml:space="preserve"> Total output, adjusted for 2009 dollars, for a five river region covering six states ranged from $3.11 to $21.73 million.  Income from services offered ranged from $1.72 to $8.12 million.  </w:t>
      </w:r>
    </w:p>
    <w:p w:rsidR="001C512F" w:rsidRDefault="00366B12" w:rsidP="00433EE3">
      <w:pPr>
        <w:spacing w:line="480" w:lineRule="auto"/>
        <w:ind w:firstLine="360"/>
      </w:pPr>
      <w:r>
        <w:t xml:space="preserve">In a similar study by </w:t>
      </w:r>
      <w:proofErr w:type="spellStart"/>
      <w:r>
        <w:t>Hjerpe</w:t>
      </w:r>
      <w:proofErr w:type="spellEnd"/>
      <w:r>
        <w:t xml:space="preserve"> &amp; Kim (2007), </w:t>
      </w:r>
      <w:r w:rsidR="00C60A05">
        <w:t xml:space="preserve">the focus of their research was on the economic impact of river recreation (guided trips) at </w:t>
      </w:r>
      <w:r w:rsidR="006169A8">
        <w:t xml:space="preserve">the </w:t>
      </w:r>
      <w:r w:rsidR="00C60A05">
        <w:t xml:space="preserve">state level.  The findings suggest that state </w:t>
      </w:r>
      <w:r w:rsidR="00C60A05">
        <w:lastRenderedPageBreak/>
        <w:t>multipliers (total impact expected from given economic activity) will be significantly larger than local multipliers.</w:t>
      </w:r>
    </w:p>
    <w:p w:rsidR="007A148F" w:rsidRDefault="009C13D2" w:rsidP="00433EE3">
      <w:pPr>
        <w:spacing w:line="480" w:lineRule="auto"/>
        <w:ind w:firstLine="360"/>
      </w:pPr>
      <w:r>
        <w:t>While first used to estimate the value of quality change in automobiles (</w:t>
      </w:r>
      <w:proofErr w:type="spellStart"/>
      <w:r>
        <w:t>Griliches</w:t>
      </w:r>
      <w:proofErr w:type="spellEnd"/>
      <w:r>
        <w:t xml:space="preserve">, 1968 as cited in </w:t>
      </w:r>
      <w:proofErr w:type="spellStart"/>
      <w:r>
        <w:t>Kulshreshtha</w:t>
      </w:r>
      <w:proofErr w:type="spellEnd"/>
      <w:r>
        <w:t xml:space="preserve"> &amp; </w:t>
      </w:r>
      <w:proofErr w:type="spellStart"/>
      <w:r>
        <w:t>Gillies</w:t>
      </w:r>
      <w:proofErr w:type="spellEnd"/>
      <w:r>
        <w:t>, 1993)</w:t>
      </w:r>
      <w:r w:rsidR="00EA47B1">
        <w:t>, t</w:t>
      </w:r>
      <w:r>
        <w:t xml:space="preserve">he hedonic property valuation method </w:t>
      </w:r>
      <w:r w:rsidR="00EA47B1">
        <w:t>has been widely used to</w:t>
      </w:r>
      <w:r w:rsidR="00836D70">
        <w:t xml:space="preserve"> </w:t>
      </w:r>
      <w:r w:rsidR="00EA47B1">
        <w:t>determine the</w:t>
      </w:r>
      <w:r w:rsidR="00836D70">
        <w:t xml:space="preserve"> </w:t>
      </w:r>
      <w:r>
        <w:t xml:space="preserve">value </w:t>
      </w:r>
      <w:r w:rsidR="00836D70">
        <w:t xml:space="preserve">of environmental </w:t>
      </w:r>
      <w:r>
        <w:t>amenities (e.g. water resources)</w:t>
      </w:r>
      <w:r w:rsidR="00836D70">
        <w:t xml:space="preserve"> that </w:t>
      </w:r>
      <w:r>
        <w:t>influence</w:t>
      </w:r>
      <w:r w:rsidR="00836D70">
        <w:t xml:space="preserve"> property v</w:t>
      </w:r>
      <w:r>
        <w:t>a</w:t>
      </w:r>
      <w:r w:rsidR="00836D70">
        <w:t xml:space="preserve">lues. </w:t>
      </w:r>
      <w:r>
        <w:t xml:space="preserve"> </w:t>
      </w:r>
      <w:r w:rsidR="00836D70">
        <w:t xml:space="preserve">The hedonic property method “isolates the property value differential </w:t>
      </w:r>
      <w:r>
        <w:t>paid</w:t>
      </w:r>
      <w:r w:rsidR="00836D70">
        <w:t xml:space="preserve"> by a household for having a home </w:t>
      </w:r>
      <w:r>
        <w:t>[near</w:t>
      </w:r>
      <w:r w:rsidR="00836D70">
        <w:t xml:space="preserve"> resources</w:t>
      </w:r>
      <w:r>
        <w:t xml:space="preserve">]” (Loomis, Kent, Strange, </w:t>
      </w:r>
      <w:proofErr w:type="spellStart"/>
      <w:r>
        <w:t>Fausch</w:t>
      </w:r>
      <w:proofErr w:type="spellEnd"/>
      <w:r>
        <w:t xml:space="preserve">, &amp; </w:t>
      </w:r>
      <w:proofErr w:type="spellStart"/>
      <w:r>
        <w:t>Covich</w:t>
      </w:r>
      <w:proofErr w:type="spellEnd"/>
      <w:r>
        <w:t>, 2000)</w:t>
      </w:r>
      <w:r w:rsidR="00836D70">
        <w:t>.  Utilizing this method to</w:t>
      </w:r>
      <w:r w:rsidR="007A148F">
        <w:t xml:space="preserve"> determine economic impact of water resources in a community, </w:t>
      </w:r>
      <w:proofErr w:type="spellStart"/>
      <w:r w:rsidR="007A148F">
        <w:t>Kulshreshtha</w:t>
      </w:r>
      <w:proofErr w:type="spellEnd"/>
      <w:r w:rsidR="007A148F">
        <w:t xml:space="preserve"> and </w:t>
      </w:r>
      <w:proofErr w:type="spellStart"/>
      <w:r w:rsidR="007A148F">
        <w:t>Gillies</w:t>
      </w:r>
      <w:proofErr w:type="spellEnd"/>
      <w:r w:rsidR="007A148F">
        <w:t xml:space="preserve"> </w:t>
      </w:r>
      <w:r w:rsidR="00761F49">
        <w:t>(</w:t>
      </w:r>
      <w:r w:rsidR="007A148F">
        <w:t xml:space="preserve">1993) found that the </w:t>
      </w:r>
      <w:r w:rsidR="00757922">
        <w:t>value of aesthetic amenities</w:t>
      </w:r>
      <w:r w:rsidR="007A148F">
        <w:t xml:space="preserve"> of a</w:t>
      </w:r>
      <w:r w:rsidR="009746D4">
        <w:t xml:space="preserve"> water source (e.g. river)</w:t>
      </w:r>
      <w:r w:rsidR="007A148F">
        <w:t xml:space="preserve"> in </w:t>
      </w:r>
      <w:r w:rsidR="00757922">
        <w:t>an urban setting</w:t>
      </w:r>
      <w:r w:rsidR="007A148F">
        <w:t xml:space="preserve"> resulted in significant </w:t>
      </w:r>
      <w:r w:rsidR="00757922">
        <w:t xml:space="preserve">increases in property values and approximately 10% of economic contribution could be associated with the </w:t>
      </w:r>
      <w:r w:rsidR="009746D4">
        <w:t>water source</w:t>
      </w:r>
      <w:r w:rsidR="00757922">
        <w:t>.</w:t>
      </w:r>
    </w:p>
    <w:p w:rsidR="00283724" w:rsidRDefault="00C60A05" w:rsidP="00433EE3">
      <w:pPr>
        <w:spacing w:line="480" w:lineRule="auto"/>
        <w:ind w:firstLine="360"/>
      </w:pPr>
      <w:r>
        <w:t xml:space="preserve">Research on the direct and indirect benefits of river </w:t>
      </w:r>
      <w:r w:rsidR="00954193">
        <w:t xml:space="preserve">recreation </w:t>
      </w:r>
      <w:r>
        <w:t>suggests that local and state economies are significantly influenced</w:t>
      </w:r>
      <w:r w:rsidR="00954193">
        <w:t xml:space="preserve"> (</w:t>
      </w:r>
      <w:proofErr w:type="spellStart"/>
      <w:r w:rsidR="00954193">
        <w:t>Helvoigt</w:t>
      </w:r>
      <w:proofErr w:type="spellEnd"/>
      <w:r w:rsidR="00954193">
        <w:t xml:space="preserve">, </w:t>
      </w:r>
      <w:proofErr w:type="spellStart"/>
      <w:r w:rsidR="00954193">
        <w:t>Neculae</w:t>
      </w:r>
      <w:proofErr w:type="spellEnd"/>
      <w:r w:rsidR="00954193">
        <w:t xml:space="preserve">, </w:t>
      </w:r>
      <w:proofErr w:type="spellStart"/>
      <w:r w:rsidR="00954193">
        <w:t>Josephon</w:t>
      </w:r>
      <w:proofErr w:type="spellEnd"/>
      <w:r w:rsidR="00954193">
        <w:t>, &amp; Charlton, 2008</w:t>
      </w:r>
      <w:r w:rsidR="00AC4AF6">
        <w:t>; Sims, 2002</w:t>
      </w:r>
      <w:r w:rsidR="00954193">
        <w:t>)</w:t>
      </w:r>
      <w:r>
        <w:t>.</w:t>
      </w:r>
      <w:r w:rsidR="00954193">
        <w:t xml:space="preserve">   </w:t>
      </w:r>
      <w:r>
        <w:t xml:space="preserve">In a regional economic impact study conducted for whitewater </w:t>
      </w:r>
      <w:r w:rsidR="009A2131">
        <w:t xml:space="preserve">recreation </w:t>
      </w:r>
      <w:r>
        <w:t>in a west coast state,</w:t>
      </w:r>
      <w:r w:rsidR="009A2131">
        <w:t xml:space="preserve"> the findings state that the industry provides a positive stimulus to the local economics through direct, indirect, and induced economic effects </w:t>
      </w:r>
      <w:r>
        <w:t>(</w:t>
      </w:r>
      <w:proofErr w:type="spellStart"/>
      <w:r>
        <w:t>Helvoigt</w:t>
      </w:r>
      <w:proofErr w:type="spellEnd"/>
      <w:r>
        <w:t xml:space="preserve">, </w:t>
      </w:r>
      <w:proofErr w:type="spellStart"/>
      <w:r>
        <w:t>Neculae</w:t>
      </w:r>
      <w:proofErr w:type="spellEnd"/>
      <w:r>
        <w:t xml:space="preserve">, </w:t>
      </w:r>
      <w:proofErr w:type="spellStart"/>
      <w:r>
        <w:t>Josephon</w:t>
      </w:r>
      <w:proofErr w:type="spellEnd"/>
      <w:r>
        <w:t>, &amp; Charlton, 2008</w:t>
      </w:r>
      <w:r w:rsidR="009A2131">
        <w:t>, p. 12)</w:t>
      </w:r>
      <w:r>
        <w:t>.</w:t>
      </w:r>
    </w:p>
    <w:p w:rsidR="00093C73" w:rsidRDefault="00093C73" w:rsidP="00093C73">
      <w:pPr>
        <w:spacing w:line="480" w:lineRule="auto"/>
      </w:pPr>
    </w:p>
    <w:p w:rsidR="00093C73" w:rsidRDefault="00D17360" w:rsidP="00093C73">
      <w:pPr>
        <w:spacing w:line="480" w:lineRule="auto"/>
        <w:jc w:val="center"/>
      </w:pPr>
      <w:r>
        <w:t>Purpose of the Study</w:t>
      </w:r>
    </w:p>
    <w:p w:rsidR="00DA39A1" w:rsidRDefault="00DA39A1" w:rsidP="00DA39A1">
      <w:pPr>
        <w:spacing w:line="480" w:lineRule="auto"/>
      </w:pPr>
      <w:r>
        <w:tab/>
        <w:t>The purpose of this study was to estimate the economic impact that out of town visitors would have on the Bowling Green area economy</w:t>
      </w:r>
      <w:r w:rsidR="001569C8">
        <w:t xml:space="preserve"> while visiting a proposed whitewater course on the Barren River</w:t>
      </w:r>
      <w:r>
        <w:t xml:space="preserve">. A second objective of the study was to determine the public’s perception of the proposed </w:t>
      </w:r>
      <w:r w:rsidR="003B4DE4">
        <w:t xml:space="preserve">whitewater </w:t>
      </w:r>
      <w:r>
        <w:t>facility</w:t>
      </w:r>
      <w:r w:rsidR="003B4DE4">
        <w:t xml:space="preserve"> on the Barren River in the city of Bowling Green</w:t>
      </w:r>
      <w:r>
        <w:t>.</w:t>
      </w:r>
    </w:p>
    <w:p w:rsidR="00703679" w:rsidRDefault="00703679" w:rsidP="00703679">
      <w:pPr>
        <w:spacing w:line="480" w:lineRule="auto"/>
        <w:jc w:val="center"/>
      </w:pPr>
      <w:r>
        <w:lastRenderedPageBreak/>
        <w:t>Methodology</w:t>
      </w:r>
    </w:p>
    <w:p w:rsidR="0004139E" w:rsidRDefault="0004139E" w:rsidP="0004139E">
      <w:pPr>
        <w:spacing w:line="480" w:lineRule="auto"/>
      </w:pPr>
      <w:r>
        <w:rPr>
          <w:i/>
        </w:rPr>
        <w:t>Definition of terms</w:t>
      </w:r>
    </w:p>
    <w:p w:rsidR="0004139E" w:rsidRDefault="0004139E" w:rsidP="0004139E">
      <w:pPr>
        <w:spacing w:line="480" w:lineRule="auto"/>
      </w:pPr>
      <w:r>
        <w:tab/>
        <w:t>In order to provide clarification and understanding with regards to the results of the economic impact analysis the following terms are defined.</w:t>
      </w:r>
      <w:r w:rsidR="003F1ECF">
        <w:t xml:space="preserve"> The following definitions were paraphrased from the MG</w:t>
      </w:r>
      <w:r w:rsidR="00BD6148">
        <w:t xml:space="preserve">M 2 user manual developed by </w:t>
      </w:r>
      <w:proofErr w:type="spellStart"/>
      <w:r w:rsidR="00BD6148">
        <w:t>Stynes</w:t>
      </w:r>
      <w:proofErr w:type="spellEnd"/>
      <w:r w:rsidR="00BD6148">
        <w:t xml:space="preserve"> </w:t>
      </w:r>
      <w:proofErr w:type="gramStart"/>
      <w:r w:rsidR="00BD6148">
        <w:t>et</w:t>
      </w:r>
      <w:proofErr w:type="gramEnd"/>
      <w:r w:rsidR="00BD6148">
        <w:t xml:space="preserve">. </w:t>
      </w:r>
      <w:proofErr w:type="gramStart"/>
      <w:r w:rsidR="00BD6148">
        <w:t>Al. (2000).</w:t>
      </w:r>
      <w:proofErr w:type="gramEnd"/>
    </w:p>
    <w:p w:rsidR="005C322D" w:rsidRPr="005C322D" w:rsidRDefault="005C322D" w:rsidP="0004139E">
      <w:pPr>
        <w:spacing w:line="480" w:lineRule="auto"/>
      </w:pPr>
      <w:r>
        <w:rPr>
          <w:b/>
        </w:rPr>
        <w:t xml:space="preserve">Multipliers: </w:t>
      </w:r>
      <w:r w:rsidR="008F3D76">
        <w:t xml:space="preserve">capture the secondary spending that takes place as a result of visitors spending in a community. They represent the amount of times money is spent over and over again before leaving the community. </w:t>
      </w:r>
    </w:p>
    <w:p w:rsidR="0004139E" w:rsidRDefault="003F1ECF" w:rsidP="0004139E">
      <w:pPr>
        <w:spacing w:line="480" w:lineRule="auto"/>
      </w:pPr>
      <w:r w:rsidRPr="00BD6148">
        <w:rPr>
          <w:b/>
        </w:rPr>
        <w:t>Direct economic effect</w:t>
      </w:r>
      <w:r w:rsidR="00BD6148">
        <w:rPr>
          <w:b/>
        </w:rPr>
        <w:t>:</w:t>
      </w:r>
      <w:r w:rsidR="00BD6148" w:rsidRPr="00BD6148">
        <w:rPr>
          <w:b/>
        </w:rPr>
        <w:t xml:space="preserve"> </w:t>
      </w:r>
      <w:r w:rsidR="00BD6148">
        <w:t xml:space="preserve">represents the first round of spending realized within a community. </w:t>
      </w:r>
      <w:proofErr w:type="gramStart"/>
      <w:r w:rsidR="00BD6148">
        <w:t>Typically the business that sells directly to the visitor.</w:t>
      </w:r>
      <w:proofErr w:type="gramEnd"/>
    </w:p>
    <w:p w:rsidR="00BD6148" w:rsidRDefault="00BD6148" w:rsidP="0004139E">
      <w:pPr>
        <w:spacing w:line="480" w:lineRule="auto"/>
      </w:pPr>
      <w:r>
        <w:rPr>
          <w:b/>
        </w:rPr>
        <w:t>Total effects:</w:t>
      </w:r>
      <w:r>
        <w:t xml:space="preserve"> the direct, indirect, and induced effects totaled.</w:t>
      </w:r>
    </w:p>
    <w:p w:rsidR="00BD6148" w:rsidRDefault="00BD6148" w:rsidP="0004139E">
      <w:pPr>
        <w:spacing w:line="480" w:lineRule="auto"/>
      </w:pPr>
      <w:r w:rsidRPr="00BD6148">
        <w:rPr>
          <w:b/>
        </w:rPr>
        <w:t>Indirect effect:</w:t>
      </w:r>
      <w:r>
        <w:rPr>
          <w:b/>
        </w:rPr>
        <w:t xml:space="preserve"> </w:t>
      </w:r>
      <w:r>
        <w:t xml:space="preserve">changes in sales which are linked, indirectly, to the support of services provided directly to visitors. </w:t>
      </w:r>
      <w:proofErr w:type="gramStart"/>
      <w:r>
        <w:t>i</w:t>
      </w:r>
      <w:proofErr w:type="gramEnd"/>
      <w:r>
        <w:t>.e. increased sales in produce to a sub shop that sells food to visitors at the whitewater park.</w:t>
      </w:r>
    </w:p>
    <w:p w:rsidR="00BD6148" w:rsidRPr="00BD6148" w:rsidRDefault="00BD6148" w:rsidP="0004139E">
      <w:pPr>
        <w:spacing w:line="480" w:lineRule="auto"/>
      </w:pPr>
      <w:r>
        <w:rPr>
          <w:b/>
        </w:rPr>
        <w:t>Induced effect:</w:t>
      </w:r>
      <w:r>
        <w:t xml:space="preserve"> money spent by employees of business that directly deal with visitors to the area. </w:t>
      </w:r>
      <w:proofErr w:type="gramStart"/>
      <w:r>
        <w:t>i</w:t>
      </w:r>
      <w:proofErr w:type="gramEnd"/>
      <w:r>
        <w:t>.e. the sub deli manager earns his check and then spends his money locally on gas, utilities, groceries, etc.</w:t>
      </w:r>
    </w:p>
    <w:p w:rsidR="00BD6148" w:rsidRDefault="00BD6148" w:rsidP="0004139E">
      <w:pPr>
        <w:spacing w:line="480" w:lineRule="auto"/>
      </w:pPr>
      <w:r>
        <w:rPr>
          <w:b/>
        </w:rPr>
        <w:t>Sales:</w:t>
      </w:r>
      <w:r>
        <w:t xml:space="preserve"> </w:t>
      </w:r>
      <w:r w:rsidR="00E64AF0">
        <w:t>the total dollar value of services or goods sold to visitors to the area.</w:t>
      </w:r>
    </w:p>
    <w:p w:rsidR="00E64AF0" w:rsidRDefault="00E64AF0" w:rsidP="0004139E">
      <w:pPr>
        <w:spacing w:line="480" w:lineRule="auto"/>
      </w:pPr>
      <w:r>
        <w:rPr>
          <w:b/>
        </w:rPr>
        <w:t>Personal income:</w:t>
      </w:r>
      <w:r>
        <w:t xml:space="preserve"> wages, salary and income realized by workers and businesses as a result of visitors.</w:t>
      </w:r>
    </w:p>
    <w:p w:rsidR="00E64AF0" w:rsidRDefault="00E64AF0" w:rsidP="0004139E">
      <w:pPr>
        <w:spacing w:line="480" w:lineRule="auto"/>
      </w:pPr>
      <w:r>
        <w:rPr>
          <w:b/>
        </w:rPr>
        <w:t>Jobs:</w:t>
      </w:r>
      <w:r>
        <w:t xml:space="preserve"> is the number of jobs needed in order to produce adequate goods and services to visitors. </w:t>
      </w:r>
    </w:p>
    <w:p w:rsidR="00E64AF0" w:rsidRPr="00E64AF0" w:rsidRDefault="00E64AF0" w:rsidP="0004139E">
      <w:pPr>
        <w:spacing w:line="480" w:lineRule="auto"/>
      </w:pPr>
      <w:r>
        <w:rPr>
          <w:b/>
        </w:rPr>
        <w:t>Value added:</w:t>
      </w:r>
      <w:r>
        <w:t xml:space="preserve"> </w:t>
      </w:r>
      <w:r w:rsidR="00EE2669">
        <w:t>is the total contribution of a business’s income and taxes to the locality.</w:t>
      </w:r>
    </w:p>
    <w:p w:rsidR="00BD6148" w:rsidRPr="00BD6148" w:rsidRDefault="00BD6148" w:rsidP="0004139E">
      <w:pPr>
        <w:spacing w:line="480" w:lineRule="auto"/>
        <w:rPr>
          <w:b/>
        </w:rPr>
      </w:pPr>
    </w:p>
    <w:p w:rsidR="00703679" w:rsidRPr="009B2C2E" w:rsidRDefault="00703679" w:rsidP="00703679">
      <w:pPr>
        <w:spacing w:line="480" w:lineRule="auto"/>
        <w:rPr>
          <w:i/>
        </w:rPr>
      </w:pPr>
      <w:r w:rsidRPr="009B2C2E">
        <w:rPr>
          <w:i/>
        </w:rPr>
        <w:lastRenderedPageBreak/>
        <w:t>Economic Impact Estimation Model</w:t>
      </w:r>
    </w:p>
    <w:p w:rsidR="00703679" w:rsidRDefault="00703679" w:rsidP="00703679">
      <w:pPr>
        <w:spacing w:line="480" w:lineRule="auto"/>
      </w:pPr>
      <w:r w:rsidRPr="009B2C2E">
        <w:rPr>
          <w:i/>
        </w:rPr>
        <w:tab/>
      </w:r>
      <w:proofErr w:type="gramStart"/>
      <w:r w:rsidR="00292046" w:rsidRPr="009B2C2E">
        <w:rPr>
          <w:i/>
        </w:rPr>
        <w:t>MGM2 Estimation Program</w:t>
      </w:r>
      <w:r w:rsidR="00D57B2C" w:rsidRPr="009B2C2E">
        <w:rPr>
          <w:i/>
        </w:rPr>
        <w:t>.</w:t>
      </w:r>
      <w:proofErr w:type="gramEnd"/>
    </w:p>
    <w:p w:rsidR="00CF24B1" w:rsidRPr="00CF24B1" w:rsidRDefault="00CF24B1" w:rsidP="00703679">
      <w:pPr>
        <w:spacing w:line="480" w:lineRule="auto"/>
      </w:pPr>
      <w:r>
        <w:tab/>
        <w:t xml:space="preserve">The researchers decided to utilize the Money Generation Model 2 (MGM2) short form in estimating the direct and total economic effects of visits to the proposed facility. The MGM2 model </w:t>
      </w:r>
      <w:r w:rsidR="001C2BBD">
        <w:t xml:space="preserve">was </w:t>
      </w:r>
      <w:r>
        <w:t xml:space="preserve">developed by </w:t>
      </w:r>
      <w:r w:rsidR="00671614">
        <w:t xml:space="preserve">Ken </w:t>
      </w:r>
      <w:proofErr w:type="spellStart"/>
      <w:r w:rsidR="00671614">
        <w:t>Hornback</w:t>
      </w:r>
      <w:proofErr w:type="spellEnd"/>
      <w:r w:rsidR="00671614">
        <w:t xml:space="preserve">, Daniel </w:t>
      </w:r>
      <w:proofErr w:type="spellStart"/>
      <w:r w:rsidR="00671614">
        <w:t>Stynes</w:t>
      </w:r>
      <w:proofErr w:type="spellEnd"/>
      <w:r w:rsidR="00671614">
        <w:t xml:space="preserve">, and Dennis </w:t>
      </w:r>
      <w:proofErr w:type="spellStart"/>
      <w:r w:rsidR="00671614">
        <w:t>Propst</w:t>
      </w:r>
      <w:proofErr w:type="spellEnd"/>
      <w:r w:rsidR="00671614">
        <w:t xml:space="preserve"> at Michigan State University. </w:t>
      </w:r>
      <w:r w:rsidR="0064147C">
        <w:t xml:space="preserve"> A full detailed explanation and free downloads of the program can be </w:t>
      </w:r>
      <w:r w:rsidR="00A82CB5">
        <w:t>retrieved</w:t>
      </w:r>
      <w:r w:rsidR="0064147C">
        <w:t xml:space="preserve"> from the following web address; </w:t>
      </w:r>
      <w:hyperlink r:id="rId8" w:history="1">
        <w:r w:rsidR="00E92108" w:rsidRPr="00F73D40">
          <w:rPr>
            <w:rStyle w:val="Hyperlink"/>
          </w:rPr>
          <w:t>http://web4.canr.msu.edu/MGM2/</w:t>
        </w:r>
      </w:hyperlink>
      <w:r w:rsidR="00E92108">
        <w:t xml:space="preserve"> . The </w:t>
      </w:r>
      <w:r w:rsidR="00302E93">
        <w:t xml:space="preserve">MGM2 </w:t>
      </w:r>
      <w:r w:rsidR="00E92108">
        <w:t xml:space="preserve">Excel program was designed </w:t>
      </w:r>
      <w:r w:rsidR="001F77AF">
        <w:t xml:space="preserve">to estimate the impact of users within the National Park Systems in the United States. </w:t>
      </w:r>
      <w:r w:rsidR="00AD4D7D">
        <w:t>The developers of the program (</w:t>
      </w:r>
      <w:proofErr w:type="spellStart"/>
      <w:r w:rsidR="00AD4D7D">
        <w:t>Stynes</w:t>
      </w:r>
      <w:proofErr w:type="spellEnd"/>
      <w:r w:rsidR="00AD4D7D">
        <w:t xml:space="preserve"> </w:t>
      </w:r>
      <w:proofErr w:type="gramStart"/>
      <w:r w:rsidR="00AD4D7D">
        <w:t>et</w:t>
      </w:r>
      <w:proofErr w:type="gramEnd"/>
      <w:r w:rsidR="00AD4D7D">
        <w:t>. Al. 2000) view the economic impact equation as “Economic impacts = Number of Visitors * Average spending per visitor * Economic multiplier.” (</w:t>
      </w:r>
      <w:r w:rsidR="001C2BBD">
        <w:t xml:space="preserve">p.4). Multipliers utilized within the software program were developed using several recognized sources. Those sources include the Regional Input-Output Modeling System II (RIMS II) and the IMPLAN input-output model (Loomis &amp; Walsh, 1997). </w:t>
      </w:r>
      <w:r w:rsidR="001F77AF">
        <w:t xml:space="preserve">Since Mammoth Cave National Park in located less than 30 miles north of the city of Bowling Green </w:t>
      </w:r>
      <w:r w:rsidR="001C2BBD">
        <w:t xml:space="preserve">and multipliers for the region exist within the short form of the MGM2 model </w:t>
      </w:r>
      <w:r w:rsidR="001F77AF">
        <w:t xml:space="preserve">the decision was made to adapt the program to predict the economic effects of </w:t>
      </w:r>
      <w:r w:rsidR="008F3D76">
        <w:t xml:space="preserve">possible </w:t>
      </w:r>
      <w:r w:rsidR="001F77AF">
        <w:t xml:space="preserve">participants </w:t>
      </w:r>
      <w:r w:rsidR="008F3D76">
        <w:t xml:space="preserve">visiting </w:t>
      </w:r>
      <w:r w:rsidR="001F77AF">
        <w:t>the Bowling Green area to utilize the proposed whitewater park.</w:t>
      </w:r>
    </w:p>
    <w:p w:rsidR="00292046" w:rsidRDefault="00292046" w:rsidP="00703679">
      <w:pPr>
        <w:spacing w:line="480" w:lineRule="auto"/>
        <w:rPr>
          <w:i/>
        </w:rPr>
      </w:pPr>
      <w:r w:rsidRPr="009B2C2E">
        <w:rPr>
          <w:i/>
        </w:rPr>
        <w:tab/>
      </w:r>
      <w:r>
        <w:rPr>
          <w:i/>
        </w:rPr>
        <w:t>Whitewater User Estimates</w:t>
      </w:r>
      <w:r w:rsidR="00D57B2C">
        <w:rPr>
          <w:i/>
        </w:rPr>
        <w:t>.</w:t>
      </w:r>
    </w:p>
    <w:p w:rsidR="009F1236" w:rsidRPr="00C40E35" w:rsidRDefault="00C40E35" w:rsidP="00703679">
      <w:pPr>
        <w:spacing w:line="480" w:lineRule="auto"/>
      </w:pPr>
      <w:r>
        <w:tab/>
      </w:r>
      <w:r w:rsidR="009F1236">
        <w:t>American Whitewater</w:t>
      </w:r>
      <w:r w:rsidR="00302E93">
        <w:t>,</w:t>
      </w:r>
      <w:r w:rsidR="009F1236">
        <w:t xml:space="preserve"> which is a nonprofit boating organization</w:t>
      </w:r>
      <w:r w:rsidR="00302E93">
        <w:t>, was contacted in order to determine the number of actual whitewater boaters within a 450 mile radius of the Bowling Green area</w:t>
      </w:r>
      <w:r w:rsidR="009F1236">
        <w:t xml:space="preserve">. Its central mission is to “to conserve and restore America's whitewater resources and to enhance opportunities to enjoy them safely.” (p.1). </w:t>
      </w:r>
      <w:r w:rsidR="003A0F51">
        <w:t>Additionally</w:t>
      </w:r>
      <w:r w:rsidR="009F1236">
        <w:t xml:space="preserve">, the organization advocates for the protection and preservation of waterways for the future enjoyment of the boating </w:t>
      </w:r>
      <w:r w:rsidR="009F1236">
        <w:lastRenderedPageBreak/>
        <w:t>com</w:t>
      </w:r>
      <w:r w:rsidR="008A026C">
        <w:t>munity (American Whitewater 2009</w:t>
      </w:r>
      <w:r w:rsidR="009F1236">
        <w:t xml:space="preserve">). According to the American Whitewater database there are over 2700 </w:t>
      </w:r>
      <w:r w:rsidR="008A026C">
        <w:t xml:space="preserve">whitewater </w:t>
      </w:r>
      <w:r w:rsidR="009F1236">
        <w:t>boaters that live within a 450 mile radius of Bowling Green, Kentucky</w:t>
      </w:r>
      <w:r w:rsidR="002445A3">
        <w:t xml:space="preserve">. The researchers choose a radius of 450 miles as that would be within a </w:t>
      </w:r>
      <w:r w:rsidR="00EC2EE4">
        <w:t>seven hour drive of the proposed whitewater venue.</w:t>
      </w:r>
      <w:r w:rsidR="00342BDD">
        <w:t xml:space="preserve"> </w:t>
      </w:r>
      <w:r w:rsidR="008A026C">
        <w:t>It is estimated that these 2700 boaters could potentially visit the course on average of three times per year. This would equal 8100 visits to the Bowling Green area</w:t>
      </w:r>
      <w:r w:rsidR="00206F77">
        <w:t xml:space="preserve"> </w:t>
      </w:r>
      <w:proofErr w:type="gramStart"/>
      <w:r w:rsidR="00206F77">
        <w:t>who</w:t>
      </w:r>
      <w:proofErr w:type="gramEnd"/>
      <w:r w:rsidR="00206F77">
        <w:t xml:space="preserve"> would most likely spend one </w:t>
      </w:r>
      <w:r w:rsidR="00302E93">
        <w:t xml:space="preserve">and a half </w:t>
      </w:r>
      <w:r w:rsidR="00206F77">
        <w:t>night</w:t>
      </w:r>
      <w:r w:rsidR="00302E93">
        <w:t>s</w:t>
      </w:r>
      <w:r w:rsidR="00206F77">
        <w:t xml:space="preserve"> in local accommodations</w:t>
      </w:r>
      <w:r w:rsidR="008A026C">
        <w:t>.</w:t>
      </w:r>
      <w:r w:rsidR="00EC7E71">
        <w:t xml:space="preserve"> No attempt was made to determine local visits as local visits are considered switch users which do not represent an infusion of money from outside the community. </w:t>
      </w:r>
    </w:p>
    <w:p w:rsidR="00680151" w:rsidRDefault="00680151" w:rsidP="00703679">
      <w:pPr>
        <w:spacing w:line="480" w:lineRule="auto"/>
        <w:rPr>
          <w:i/>
        </w:rPr>
      </w:pPr>
    </w:p>
    <w:p w:rsidR="00292046" w:rsidRDefault="00D57B2C" w:rsidP="00703679">
      <w:pPr>
        <w:spacing w:line="480" w:lineRule="auto"/>
      </w:pPr>
      <w:r>
        <w:rPr>
          <w:i/>
        </w:rPr>
        <w:tab/>
        <w:t>Data Analysis.</w:t>
      </w:r>
    </w:p>
    <w:p w:rsidR="003A0F51" w:rsidRPr="003A0F51" w:rsidRDefault="003A0F51" w:rsidP="00703679">
      <w:pPr>
        <w:spacing w:line="480" w:lineRule="auto"/>
      </w:pPr>
      <w:r>
        <w:tab/>
      </w:r>
      <w:r w:rsidR="00680151">
        <w:t>The Money Generation Model 2 (MGM2) short form was utilized to determine the economic impact effects of future visitors to the proposed whitewater course on the Barren River in Bowling Green, Kentucky.</w:t>
      </w:r>
    </w:p>
    <w:p w:rsidR="00703679" w:rsidRDefault="00703679" w:rsidP="00703679">
      <w:pPr>
        <w:spacing w:line="480" w:lineRule="auto"/>
        <w:rPr>
          <w:i/>
        </w:rPr>
      </w:pPr>
      <w:r>
        <w:rPr>
          <w:i/>
        </w:rPr>
        <w:t>Whitewater Public Perception Study</w:t>
      </w:r>
    </w:p>
    <w:p w:rsidR="00703679" w:rsidRDefault="00703679" w:rsidP="00703679">
      <w:pPr>
        <w:spacing w:line="480" w:lineRule="auto"/>
        <w:rPr>
          <w:i/>
        </w:rPr>
      </w:pPr>
      <w:r>
        <w:rPr>
          <w:i/>
        </w:rPr>
        <w:tab/>
        <w:t>Instrumentation.</w:t>
      </w:r>
    </w:p>
    <w:p w:rsidR="00A2659D" w:rsidRPr="00A2659D" w:rsidRDefault="00A2659D" w:rsidP="00703679">
      <w:pPr>
        <w:spacing w:line="480" w:lineRule="auto"/>
      </w:pPr>
      <w:r>
        <w:tab/>
        <w:t xml:space="preserve">Utilizing a panel of experts within the Kinesiology, Recreation and Sport department at Western Kentucky University a series of questions were developed to ascertain the public’s perceptions of a proposed whitewater park to be located on a section of the Barren River which runs through the city of Bowling Green. Once the questions were developed the questions were given to a group of citizens to determine readability and content appropriateness.  </w:t>
      </w:r>
      <w:r w:rsidR="00803737">
        <w:t xml:space="preserve">Changes were made to questions in order to provide clarification. The average time to take the survey was five minutes. </w:t>
      </w:r>
      <w:r>
        <w:t>Since this was an opinion survey no validity or reliability data was collected or analyzed.</w:t>
      </w:r>
    </w:p>
    <w:p w:rsidR="00703679" w:rsidRDefault="00703679" w:rsidP="00703679">
      <w:pPr>
        <w:spacing w:line="480" w:lineRule="auto"/>
      </w:pPr>
      <w:r>
        <w:rPr>
          <w:i/>
        </w:rPr>
        <w:lastRenderedPageBreak/>
        <w:tab/>
      </w:r>
      <w:proofErr w:type="gramStart"/>
      <w:r>
        <w:rPr>
          <w:i/>
        </w:rPr>
        <w:t>Selection of subjects.</w:t>
      </w:r>
      <w:proofErr w:type="gramEnd"/>
    </w:p>
    <w:p w:rsidR="009B2C2E" w:rsidRDefault="009B2C2E" w:rsidP="009B2C2E">
      <w:pPr>
        <w:spacing w:line="480" w:lineRule="auto"/>
        <w:ind w:firstLine="720"/>
      </w:pPr>
      <w:r>
        <w:t xml:space="preserve">The data was collected using </w:t>
      </w:r>
      <w:r w:rsidR="00680151">
        <w:t xml:space="preserve">two different sampling methods. First, </w:t>
      </w:r>
      <w:r>
        <w:t>a random interview sampling method</w:t>
      </w:r>
      <w:r w:rsidR="00680151">
        <w:t xml:space="preserve"> was used</w:t>
      </w:r>
      <w:r>
        <w:t xml:space="preserve">. </w:t>
      </w:r>
      <w:r w:rsidR="00680151">
        <w:t>V</w:t>
      </w:r>
      <w:r>
        <w:t xml:space="preserve">olunteers collected the data at various sites across the Bowling Green area during the summer of 2006. </w:t>
      </w:r>
      <w:r w:rsidR="00680151">
        <w:t xml:space="preserve">Secondly, an e-mail was sent out to all employees of Western Kentucky University asking for voluntary participation in the study. </w:t>
      </w:r>
      <w:r>
        <w:t xml:space="preserve">The total sample </w:t>
      </w:r>
      <w:r w:rsidR="00680151">
        <w:t xml:space="preserve">from both methods </w:t>
      </w:r>
      <w:r>
        <w:t>equaled 218 individuals</w:t>
      </w:r>
      <w:r w:rsidR="00680151">
        <w:t xml:space="preserve"> representing a range of individuals from across the community</w:t>
      </w:r>
      <w:r>
        <w:t>.</w:t>
      </w:r>
      <w:r w:rsidR="00680151">
        <w:t xml:space="preserve"> </w:t>
      </w:r>
      <w:r w:rsidR="0026130D">
        <w:t>T</w:t>
      </w:r>
      <w:r w:rsidR="00680151">
        <w:t xml:space="preserve">able </w:t>
      </w:r>
      <w:r w:rsidR="00D80A4D">
        <w:t>2</w:t>
      </w:r>
      <w:r w:rsidR="0026130D">
        <w:t xml:space="preserve"> </w:t>
      </w:r>
      <w:r w:rsidR="00680151">
        <w:t>outlines the distribution of respondents by zip code.</w:t>
      </w:r>
    </w:p>
    <w:p w:rsidR="0026130D" w:rsidRPr="0026130D" w:rsidRDefault="0026130D" w:rsidP="0026130D">
      <w:pPr>
        <w:autoSpaceDE w:val="0"/>
        <w:autoSpaceDN w:val="0"/>
        <w:adjustRightInd w:val="0"/>
        <w:spacing w:line="400" w:lineRule="atLeast"/>
      </w:pPr>
    </w:p>
    <w:p w:rsidR="0026130D" w:rsidRPr="009B2C2E" w:rsidRDefault="0026130D" w:rsidP="0026130D">
      <w:pPr>
        <w:spacing w:line="480" w:lineRule="auto"/>
      </w:pPr>
    </w:p>
    <w:p w:rsidR="00703679" w:rsidRDefault="00703679" w:rsidP="00703679">
      <w:pPr>
        <w:spacing w:line="480" w:lineRule="auto"/>
      </w:pPr>
      <w:r>
        <w:rPr>
          <w:i/>
        </w:rPr>
        <w:tab/>
        <w:t>Data analysis.</w:t>
      </w:r>
    </w:p>
    <w:p w:rsidR="0099719C" w:rsidRPr="0099719C" w:rsidRDefault="0099719C" w:rsidP="00703679">
      <w:pPr>
        <w:spacing w:line="480" w:lineRule="auto"/>
      </w:pPr>
      <w:r>
        <w:tab/>
        <w:t xml:space="preserve">Descriptive statistics of the </w:t>
      </w:r>
      <w:r w:rsidR="00987DEA">
        <w:t xml:space="preserve">public perception </w:t>
      </w:r>
      <w:r>
        <w:t>data were generated using Statistical Package for the Social Sciences (SPSS). Percentages of responses were generated in table and chart format in order to provide an overview of the public’s response to the proposed whitewater course in the City of Bowling Green, Kentucky.</w:t>
      </w:r>
    </w:p>
    <w:p w:rsidR="00F22604" w:rsidRDefault="00F22604" w:rsidP="00433EE3">
      <w:pPr>
        <w:spacing w:line="480" w:lineRule="auto"/>
        <w:ind w:firstLine="360"/>
      </w:pPr>
    </w:p>
    <w:p w:rsidR="00B90339" w:rsidRDefault="009B2C2E" w:rsidP="00B90339">
      <w:pPr>
        <w:spacing w:line="480" w:lineRule="auto"/>
        <w:jc w:val="center"/>
      </w:pPr>
      <w:r>
        <w:t>Results</w:t>
      </w:r>
    </w:p>
    <w:p w:rsidR="009B2C2E" w:rsidRDefault="009B2C2E" w:rsidP="009B2C2E">
      <w:pPr>
        <w:spacing w:line="480" w:lineRule="auto"/>
      </w:pPr>
      <w:r>
        <w:rPr>
          <w:i/>
        </w:rPr>
        <w:t>Economic Impact</w:t>
      </w:r>
    </w:p>
    <w:p w:rsidR="009B2C2E" w:rsidRDefault="008E7BD4" w:rsidP="009B2C2E">
      <w:pPr>
        <w:spacing w:line="480" w:lineRule="auto"/>
        <w:rPr>
          <w:bCs/>
        </w:rPr>
      </w:pPr>
      <w:r>
        <w:tab/>
        <w:t>Table 1</w:t>
      </w:r>
      <w:r w:rsidR="001706B5">
        <w:t xml:space="preserve"> presents the </w:t>
      </w:r>
      <w:r w:rsidR="00897F3C">
        <w:t>d</w:t>
      </w:r>
      <w:r w:rsidR="00897F3C" w:rsidRPr="00897F3C">
        <w:rPr>
          <w:bCs/>
        </w:rPr>
        <w:t xml:space="preserve">irect and </w:t>
      </w:r>
      <w:r w:rsidR="00897F3C">
        <w:rPr>
          <w:bCs/>
        </w:rPr>
        <w:t>t</w:t>
      </w:r>
      <w:r w:rsidR="00897F3C" w:rsidRPr="00897F3C">
        <w:rPr>
          <w:bCs/>
        </w:rPr>
        <w:t xml:space="preserve">otal </w:t>
      </w:r>
      <w:r w:rsidR="00897F3C">
        <w:rPr>
          <w:bCs/>
        </w:rPr>
        <w:t>e</w:t>
      </w:r>
      <w:r w:rsidR="00897F3C" w:rsidRPr="00897F3C">
        <w:rPr>
          <w:bCs/>
        </w:rPr>
        <w:t xml:space="preserve">ffects of </w:t>
      </w:r>
      <w:r w:rsidR="00897F3C">
        <w:rPr>
          <w:bCs/>
        </w:rPr>
        <w:t>v</w:t>
      </w:r>
      <w:r w:rsidR="00897F3C" w:rsidRPr="00897F3C">
        <w:rPr>
          <w:bCs/>
        </w:rPr>
        <w:t>isitor</w:t>
      </w:r>
      <w:r w:rsidR="00897F3C">
        <w:rPr>
          <w:bCs/>
        </w:rPr>
        <w:t>s future</w:t>
      </w:r>
      <w:r w:rsidR="00897F3C" w:rsidRPr="00897F3C">
        <w:rPr>
          <w:bCs/>
        </w:rPr>
        <w:t xml:space="preserve"> </w:t>
      </w:r>
      <w:r w:rsidR="00897F3C">
        <w:rPr>
          <w:bCs/>
        </w:rPr>
        <w:t>s</w:t>
      </w:r>
      <w:r w:rsidR="00897F3C" w:rsidRPr="00897F3C">
        <w:rPr>
          <w:bCs/>
        </w:rPr>
        <w:t>pending</w:t>
      </w:r>
      <w:r w:rsidR="00897F3C">
        <w:rPr>
          <w:bCs/>
        </w:rPr>
        <w:t xml:space="preserve"> in the Bowling Green area should a whitewater course be built.</w:t>
      </w:r>
    </w:p>
    <w:p w:rsidR="00FD445D" w:rsidRDefault="008E7BD4" w:rsidP="009B2C2E">
      <w:pPr>
        <w:spacing w:line="480" w:lineRule="auto"/>
      </w:pPr>
      <w:r>
        <w:rPr>
          <w:bCs/>
        </w:rPr>
        <w:t>(</w:t>
      </w:r>
      <w:proofErr w:type="gramStart"/>
      <w:r>
        <w:rPr>
          <w:bCs/>
        </w:rPr>
        <w:t>insert</w:t>
      </w:r>
      <w:proofErr w:type="gramEnd"/>
      <w:r>
        <w:rPr>
          <w:bCs/>
        </w:rPr>
        <w:t xml:space="preserve"> table 1</w:t>
      </w:r>
      <w:r w:rsidR="00FD445D">
        <w:rPr>
          <w:bCs/>
        </w:rPr>
        <w:t xml:space="preserve"> about here)</w:t>
      </w:r>
    </w:p>
    <w:p w:rsidR="009B2C2E" w:rsidRPr="009B2C2E" w:rsidRDefault="009B2C2E" w:rsidP="009B2C2E">
      <w:pPr>
        <w:spacing w:line="480" w:lineRule="auto"/>
      </w:pPr>
      <w:r>
        <w:rPr>
          <w:i/>
        </w:rPr>
        <w:t>Public Perception of Need</w:t>
      </w:r>
    </w:p>
    <w:p w:rsidR="00B90339" w:rsidRDefault="00B90339" w:rsidP="00B90339">
      <w:pPr>
        <w:spacing w:line="480" w:lineRule="auto"/>
      </w:pPr>
      <w:r>
        <w:tab/>
      </w:r>
      <w:r w:rsidR="00637A84">
        <w:t>T</w:t>
      </w:r>
      <w:r>
        <w:t xml:space="preserve">able </w:t>
      </w:r>
      <w:r w:rsidR="008E7BD4">
        <w:t>2</w:t>
      </w:r>
      <w:r w:rsidR="00637A84">
        <w:t xml:space="preserve"> </w:t>
      </w:r>
      <w:r>
        <w:t>present</w:t>
      </w:r>
      <w:r w:rsidR="00637A84">
        <w:t>s</w:t>
      </w:r>
      <w:r>
        <w:t xml:space="preserve"> a sample of the Bowling Green areas constituency regarding the proposed whitewater course</w:t>
      </w:r>
      <w:r w:rsidR="00637A84">
        <w:t>.</w:t>
      </w:r>
      <w:r w:rsidR="008E7BD4">
        <w:t xml:space="preserve"> (</w:t>
      </w:r>
      <w:proofErr w:type="gramStart"/>
      <w:r w:rsidR="008E7BD4">
        <w:t>insert</w:t>
      </w:r>
      <w:proofErr w:type="gramEnd"/>
      <w:r w:rsidR="008E7BD4">
        <w:t xml:space="preserve"> table 2</w:t>
      </w:r>
      <w:r w:rsidR="00506CA1">
        <w:t xml:space="preserve"> about here)</w:t>
      </w:r>
    </w:p>
    <w:p w:rsidR="00B77130" w:rsidRDefault="00B77130" w:rsidP="00B90339">
      <w:pPr>
        <w:spacing w:line="480" w:lineRule="auto"/>
      </w:pPr>
    </w:p>
    <w:p w:rsidR="006738D1" w:rsidRDefault="006738D1" w:rsidP="006738D1">
      <w:pPr>
        <w:autoSpaceDE w:val="0"/>
        <w:autoSpaceDN w:val="0"/>
        <w:adjustRightInd w:val="0"/>
        <w:spacing w:line="400" w:lineRule="atLeast"/>
        <w:ind w:left="720" w:hanging="720"/>
        <w:jc w:val="center"/>
      </w:pPr>
      <w:r>
        <w:lastRenderedPageBreak/>
        <w:t>Discussion &amp; Recommendations</w:t>
      </w:r>
    </w:p>
    <w:p w:rsidR="009C4062" w:rsidRDefault="009C4062" w:rsidP="006738D1">
      <w:pPr>
        <w:autoSpaceDE w:val="0"/>
        <w:autoSpaceDN w:val="0"/>
        <w:adjustRightInd w:val="0"/>
        <w:spacing w:line="400" w:lineRule="atLeast"/>
        <w:ind w:left="720" w:hanging="720"/>
        <w:jc w:val="center"/>
      </w:pPr>
    </w:p>
    <w:p w:rsidR="0004139E" w:rsidRDefault="0004139E" w:rsidP="009C4062">
      <w:pPr>
        <w:autoSpaceDE w:val="0"/>
        <w:autoSpaceDN w:val="0"/>
        <w:adjustRightInd w:val="0"/>
        <w:spacing w:line="480" w:lineRule="auto"/>
      </w:pPr>
      <w:r>
        <w:tab/>
        <w:t xml:space="preserve"> </w:t>
      </w:r>
      <w:r w:rsidR="00E70F67">
        <w:t xml:space="preserve">As the data </w:t>
      </w:r>
      <w:r w:rsidR="007D5102">
        <w:t>analysis</w:t>
      </w:r>
      <w:r w:rsidR="00E70F67">
        <w:t xml:space="preserve"> and table demonstrates the possible economic infusion of money is positive to the community. This is consistent with prior research related to whitewater </w:t>
      </w:r>
      <w:r w:rsidR="00CB1F0F">
        <w:t xml:space="preserve">courses </w:t>
      </w:r>
      <w:r w:rsidR="00E70F67">
        <w:t>and rivers in general (</w:t>
      </w:r>
      <w:r w:rsidR="00E70F67" w:rsidRPr="00F82262">
        <w:t xml:space="preserve">Cordell, Bergstrom, Ashley, &amp; </w:t>
      </w:r>
      <w:proofErr w:type="spellStart"/>
      <w:r w:rsidR="00E70F67" w:rsidRPr="00F82262">
        <w:t>Karish</w:t>
      </w:r>
      <w:proofErr w:type="spellEnd"/>
      <w:r w:rsidR="00E70F67" w:rsidRPr="00F82262">
        <w:t>, 1990</w:t>
      </w:r>
      <w:r w:rsidR="00E70F67">
        <w:t xml:space="preserve">; </w:t>
      </w:r>
      <w:proofErr w:type="spellStart"/>
      <w:r w:rsidR="00E70F67">
        <w:t>Helvoigt</w:t>
      </w:r>
      <w:proofErr w:type="spellEnd"/>
      <w:r w:rsidR="00E70F67">
        <w:t xml:space="preserve">, </w:t>
      </w:r>
      <w:proofErr w:type="spellStart"/>
      <w:r w:rsidR="00E70F67">
        <w:t>Neculae</w:t>
      </w:r>
      <w:proofErr w:type="spellEnd"/>
      <w:r w:rsidR="00E70F67">
        <w:t xml:space="preserve">, Josephson, &amp; Charlton, 2008; English and </w:t>
      </w:r>
      <w:proofErr w:type="spellStart"/>
      <w:r w:rsidR="00E70F67">
        <w:t>Bowker</w:t>
      </w:r>
      <w:proofErr w:type="spellEnd"/>
      <w:r w:rsidR="00E70F67">
        <w:t xml:space="preserve"> 1996; </w:t>
      </w:r>
      <w:proofErr w:type="spellStart"/>
      <w:r w:rsidR="00E70F67">
        <w:t>Hjerpe</w:t>
      </w:r>
      <w:proofErr w:type="spellEnd"/>
      <w:r w:rsidR="00E70F67">
        <w:t xml:space="preserve"> &amp; Kim 2007; </w:t>
      </w:r>
      <w:proofErr w:type="spellStart"/>
      <w:r w:rsidR="005C5B94">
        <w:t>Kulshreshtha</w:t>
      </w:r>
      <w:proofErr w:type="spellEnd"/>
      <w:r w:rsidR="005C5B94">
        <w:t xml:space="preserve"> and </w:t>
      </w:r>
      <w:proofErr w:type="spellStart"/>
      <w:r w:rsidR="005C5B94">
        <w:t>Gillies</w:t>
      </w:r>
      <w:proofErr w:type="spellEnd"/>
      <w:r w:rsidR="005C5B94">
        <w:t xml:space="preserve"> 1993; Sims, 2002)</w:t>
      </w:r>
      <w:r w:rsidR="007D5102">
        <w:t>. While this study has outlined the possible infusion of outside money to the Bowling Green area no information about special event planning was undertaken. River festivals occur across the United States yearly and several provide a major economic effect on local areas. Further investigation should be undertaken to ascertain the effects such special events would have on the local economy.</w:t>
      </w:r>
    </w:p>
    <w:p w:rsidR="007D5102" w:rsidRDefault="007D5102" w:rsidP="009C4062">
      <w:pPr>
        <w:autoSpaceDE w:val="0"/>
        <w:autoSpaceDN w:val="0"/>
        <w:adjustRightInd w:val="0"/>
        <w:spacing w:line="480" w:lineRule="auto"/>
      </w:pPr>
      <w:r>
        <w:tab/>
        <w:t xml:space="preserve">The data on the public’s perception of the need for whitewater course on the Barren </w:t>
      </w:r>
      <w:proofErr w:type="gramStart"/>
      <w:r>
        <w:t>river</w:t>
      </w:r>
      <w:proofErr w:type="gramEnd"/>
      <w:r>
        <w:t xml:space="preserve"> is overwhelmingly positive. It is recommended that a follow up study be conducted every 2 years in order to provide longitudinal data reflective of the public’s positive embrace of establishing a whitewater course on the Barren </w:t>
      </w:r>
      <w:proofErr w:type="gramStart"/>
      <w:r>
        <w:t>river</w:t>
      </w:r>
      <w:proofErr w:type="gramEnd"/>
      <w:r>
        <w:t xml:space="preserve"> as part of the downtown revitalization and improvement plan. It is further recommended to include the cost of constructing the river in the next round of bonds to be sold as part of the Tax Increment Finance district plan for downtown Bowling Green.</w:t>
      </w:r>
    </w:p>
    <w:p w:rsidR="007D5102" w:rsidRDefault="007D5102" w:rsidP="009C4062">
      <w:pPr>
        <w:autoSpaceDE w:val="0"/>
        <w:autoSpaceDN w:val="0"/>
        <w:adjustRightInd w:val="0"/>
        <w:spacing w:line="480" w:lineRule="auto"/>
      </w:pPr>
      <w:r>
        <w:tab/>
        <w:t xml:space="preserve">Both the economic impact analysis and the public perception study </w:t>
      </w:r>
      <w:proofErr w:type="gramStart"/>
      <w:r>
        <w:t>support</w:t>
      </w:r>
      <w:r w:rsidR="00CB1F0F">
        <w:t>s</w:t>
      </w:r>
      <w:proofErr w:type="gramEnd"/>
      <w:r>
        <w:t xml:space="preserve"> the construction efforts. The U.S. Army Corps of Engineers has given a soft commitment to pay for one half the cost of the construction of the course. The total cost for the course was estimated between 5 to 6 million dollars. The econom</w:t>
      </w:r>
      <w:r w:rsidR="006E2664">
        <w:t xml:space="preserve">ic infusion of new dollars into </w:t>
      </w:r>
      <w:r w:rsidR="0029502E">
        <w:t>B</w:t>
      </w:r>
      <w:r w:rsidR="006E2664">
        <w:t xml:space="preserve">owling </w:t>
      </w:r>
      <w:r w:rsidR="0029502E">
        <w:t>G</w:t>
      </w:r>
      <w:r w:rsidR="006E2664">
        <w:t xml:space="preserve">reen on a yearly basis </w:t>
      </w:r>
      <w:r w:rsidR="009C4062">
        <w:t xml:space="preserve">could possibly </w:t>
      </w:r>
      <w:r w:rsidR="006E2664">
        <w:t>equal</w:t>
      </w:r>
      <w:r w:rsidR="009C4062">
        <w:t xml:space="preserve"> over 240 thousand dollars and create an additional 4.7 jobs. </w:t>
      </w:r>
    </w:p>
    <w:p w:rsidR="009C4062" w:rsidRDefault="009C4062" w:rsidP="009C4062">
      <w:pPr>
        <w:autoSpaceDE w:val="0"/>
        <w:autoSpaceDN w:val="0"/>
        <w:adjustRightInd w:val="0"/>
        <w:spacing w:line="480" w:lineRule="auto"/>
      </w:pPr>
    </w:p>
    <w:p w:rsidR="00796A04" w:rsidRDefault="00796A04" w:rsidP="00796A04">
      <w:pPr>
        <w:autoSpaceDE w:val="0"/>
        <w:autoSpaceDN w:val="0"/>
        <w:adjustRightInd w:val="0"/>
        <w:spacing w:line="400" w:lineRule="atLeast"/>
        <w:ind w:left="720" w:hanging="720"/>
        <w:jc w:val="center"/>
      </w:pPr>
      <w:r>
        <w:lastRenderedPageBreak/>
        <w:t>References</w:t>
      </w:r>
    </w:p>
    <w:p w:rsidR="00036BF8" w:rsidRDefault="008A026C" w:rsidP="007873FF">
      <w:pPr>
        <w:autoSpaceDE w:val="0"/>
        <w:autoSpaceDN w:val="0"/>
        <w:adjustRightInd w:val="0"/>
        <w:spacing w:line="400" w:lineRule="atLeast"/>
        <w:ind w:left="720" w:hanging="720"/>
      </w:pPr>
      <w:proofErr w:type="gramStart"/>
      <w:r>
        <w:t>American Whitewater (2009</w:t>
      </w:r>
      <w:r w:rsidR="00036BF8">
        <w:t>).</w:t>
      </w:r>
      <w:proofErr w:type="gramEnd"/>
      <w:r>
        <w:t xml:space="preserve"> American </w:t>
      </w:r>
      <w:r w:rsidR="00680151">
        <w:t xml:space="preserve">whitewater </w:t>
      </w:r>
      <w:proofErr w:type="spellStart"/>
      <w:r w:rsidR="00680151">
        <w:t>as</w:t>
      </w:r>
      <w:proofErr w:type="gramStart"/>
      <w:r w:rsidR="00680151">
        <w:t>:about</w:t>
      </w:r>
      <w:proofErr w:type="spellEnd"/>
      <w:proofErr w:type="gramEnd"/>
      <w:r w:rsidR="00680151">
        <w:t xml:space="preserve">. Retrieved August 31, 2009, from </w:t>
      </w:r>
      <w:r w:rsidR="009C4062" w:rsidRPr="009C4062">
        <w:t>http://www.americanwhitewater.org/content/Wiki/aw:about/</w:t>
      </w:r>
    </w:p>
    <w:p w:rsidR="00680151" w:rsidRDefault="00680151" w:rsidP="0083516C">
      <w:pPr>
        <w:autoSpaceDE w:val="0"/>
        <w:autoSpaceDN w:val="0"/>
        <w:adjustRightInd w:val="0"/>
        <w:rPr>
          <w:color w:val="000000"/>
        </w:rPr>
      </w:pPr>
    </w:p>
    <w:p w:rsidR="0083516C" w:rsidRPr="00181244" w:rsidRDefault="0083516C" w:rsidP="0083516C">
      <w:pPr>
        <w:autoSpaceDE w:val="0"/>
        <w:autoSpaceDN w:val="0"/>
        <w:adjustRightInd w:val="0"/>
        <w:rPr>
          <w:color w:val="000000"/>
        </w:rPr>
      </w:pPr>
      <w:proofErr w:type="spellStart"/>
      <w:r w:rsidRPr="00181244">
        <w:rPr>
          <w:color w:val="000000"/>
        </w:rPr>
        <w:t>Bowker</w:t>
      </w:r>
      <w:proofErr w:type="spellEnd"/>
      <w:r w:rsidRPr="00181244">
        <w:rPr>
          <w:color w:val="000000"/>
        </w:rPr>
        <w:t>, J. M., English, D. B. K., &amp; Donovan, J.A. (1996). Toward a Value for Guided</w:t>
      </w:r>
    </w:p>
    <w:p w:rsidR="0083516C" w:rsidRPr="00181244" w:rsidRDefault="0083516C" w:rsidP="0083516C">
      <w:pPr>
        <w:autoSpaceDE w:val="0"/>
        <w:autoSpaceDN w:val="0"/>
        <w:adjustRightInd w:val="0"/>
        <w:ind w:firstLine="720"/>
        <w:rPr>
          <w:color w:val="000000"/>
        </w:rPr>
      </w:pPr>
      <w:r w:rsidRPr="00181244">
        <w:rPr>
          <w:color w:val="000000"/>
        </w:rPr>
        <w:t xml:space="preserve">Rafting on Southern Rivers. </w:t>
      </w:r>
      <w:r w:rsidRPr="003F1ECF">
        <w:rPr>
          <w:i/>
          <w:color w:val="000000"/>
        </w:rPr>
        <w:t>Journal of Agriculture and Applied Economics, 28 (2)</w:t>
      </w:r>
      <w:r w:rsidRPr="00181244">
        <w:rPr>
          <w:color w:val="000000"/>
        </w:rPr>
        <w:t>, 423-</w:t>
      </w:r>
    </w:p>
    <w:p w:rsidR="0083516C" w:rsidRPr="00181244" w:rsidRDefault="0083516C" w:rsidP="0083516C">
      <w:pPr>
        <w:autoSpaceDE w:val="0"/>
        <w:autoSpaceDN w:val="0"/>
        <w:adjustRightInd w:val="0"/>
        <w:ind w:firstLine="720"/>
      </w:pPr>
      <w:r w:rsidRPr="00181244">
        <w:rPr>
          <w:color w:val="000000"/>
        </w:rPr>
        <w:t>432.</w:t>
      </w:r>
    </w:p>
    <w:p w:rsidR="0083516C" w:rsidRDefault="0083516C" w:rsidP="0083516C">
      <w:pPr>
        <w:autoSpaceDE w:val="0"/>
        <w:autoSpaceDN w:val="0"/>
        <w:adjustRightInd w:val="0"/>
        <w:spacing w:line="400" w:lineRule="atLeast"/>
        <w:ind w:left="720" w:hanging="720"/>
      </w:pPr>
      <w:r>
        <w:t xml:space="preserve">Cordell, K., Bergstrom, G., Ashley, G., &amp; </w:t>
      </w:r>
      <w:proofErr w:type="spellStart"/>
      <w:r>
        <w:t>Karish</w:t>
      </w:r>
      <w:proofErr w:type="spellEnd"/>
      <w:r>
        <w:t>, J.  (1990)</w:t>
      </w:r>
      <w:proofErr w:type="gramStart"/>
      <w:r>
        <w:t>.  Economic effects of river recreation on local economies.</w:t>
      </w:r>
      <w:proofErr w:type="gramEnd"/>
      <w:r>
        <w:t xml:space="preserve">  </w:t>
      </w:r>
      <w:r>
        <w:rPr>
          <w:i/>
        </w:rPr>
        <w:t>Water Resources Bulletin: American Water Resources Association</w:t>
      </w:r>
      <w:r>
        <w:t xml:space="preserve">, </w:t>
      </w:r>
      <w:r w:rsidRPr="00E56534">
        <w:rPr>
          <w:i/>
        </w:rPr>
        <w:t>2</w:t>
      </w:r>
      <w:r>
        <w:rPr>
          <w:i/>
        </w:rPr>
        <w:t>6</w:t>
      </w:r>
      <w:r>
        <w:t>(1), 53-60.</w:t>
      </w:r>
    </w:p>
    <w:p w:rsidR="0009379D" w:rsidRDefault="0005488F" w:rsidP="007873FF">
      <w:pPr>
        <w:autoSpaceDE w:val="0"/>
        <w:autoSpaceDN w:val="0"/>
        <w:adjustRightInd w:val="0"/>
        <w:spacing w:line="400" w:lineRule="atLeast"/>
        <w:ind w:left="720" w:hanging="720"/>
      </w:pPr>
      <w:r>
        <w:t>Crompton, J.  (1999)</w:t>
      </w:r>
      <w:proofErr w:type="gramStart"/>
      <w:r>
        <w:t xml:space="preserve">.  </w:t>
      </w:r>
      <w:r w:rsidRPr="003F1ECF">
        <w:rPr>
          <w:i/>
        </w:rPr>
        <w:t>Financing and acquiring parks and recreation resources</w:t>
      </w:r>
      <w:r>
        <w:t>.</w:t>
      </w:r>
      <w:proofErr w:type="gramEnd"/>
      <w:r>
        <w:t xml:space="preserve">  Champaign, IL: Human Kinetics.</w:t>
      </w:r>
    </w:p>
    <w:p w:rsidR="00A43AD5" w:rsidRDefault="00A43AD5" w:rsidP="007873FF">
      <w:pPr>
        <w:autoSpaceDE w:val="0"/>
        <w:autoSpaceDN w:val="0"/>
        <w:adjustRightInd w:val="0"/>
        <w:spacing w:line="400" w:lineRule="atLeast"/>
        <w:ind w:left="720" w:hanging="720"/>
      </w:pPr>
      <w:proofErr w:type="spellStart"/>
      <w:r>
        <w:t>Glyptis</w:t>
      </w:r>
      <w:proofErr w:type="spellEnd"/>
      <w:r>
        <w:t>, S.  (1989)</w:t>
      </w:r>
      <w:proofErr w:type="gramStart"/>
      <w:r>
        <w:t>.  Leisure and unemployment.</w:t>
      </w:r>
      <w:proofErr w:type="gramEnd"/>
      <w:r>
        <w:t xml:space="preserve">  Milton Keynes, England: Open University.</w:t>
      </w:r>
    </w:p>
    <w:p w:rsidR="0056637D" w:rsidRDefault="0056637D" w:rsidP="007873FF">
      <w:pPr>
        <w:autoSpaceDE w:val="0"/>
        <w:autoSpaceDN w:val="0"/>
        <w:adjustRightInd w:val="0"/>
        <w:spacing w:line="400" w:lineRule="atLeast"/>
        <w:ind w:left="720" w:hanging="720"/>
      </w:pPr>
      <w:proofErr w:type="spellStart"/>
      <w:proofErr w:type="gramStart"/>
      <w:r>
        <w:t>Helvoigt</w:t>
      </w:r>
      <w:proofErr w:type="spellEnd"/>
      <w:r>
        <w:t xml:space="preserve">, T., </w:t>
      </w:r>
      <w:proofErr w:type="spellStart"/>
      <w:r>
        <w:t>Neculae</w:t>
      </w:r>
      <w:proofErr w:type="spellEnd"/>
      <w:r>
        <w:t>, C., Josephson, A., &amp; Charlton, D.</w:t>
      </w:r>
      <w:proofErr w:type="gramEnd"/>
      <w:r>
        <w:t xml:space="preserve">  (2008).  Regional economic impacts of recreation on the wild and sceni</w:t>
      </w:r>
      <w:r w:rsidR="00F51A6B">
        <w:t xml:space="preserve">c Rogue </w:t>
      </w:r>
      <w:proofErr w:type="gramStart"/>
      <w:r w:rsidR="00F51A6B">
        <w:t>river</w:t>
      </w:r>
      <w:proofErr w:type="gramEnd"/>
      <w:r w:rsidR="00F51A6B">
        <w:t xml:space="preserve">. </w:t>
      </w:r>
    </w:p>
    <w:p w:rsidR="00E56534" w:rsidRDefault="00E56534" w:rsidP="007873FF">
      <w:pPr>
        <w:autoSpaceDE w:val="0"/>
        <w:autoSpaceDN w:val="0"/>
        <w:adjustRightInd w:val="0"/>
        <w:spacing w:line="400" w:lineRule="atLeast"/>
        <w:ind w:left="720" w:hanging="720"/>
      </w:pPr>
      <w:proofErr w:type="spellStart"/>
      <w:r>
        <w:t>Kulshreshtha</w:t>
      </w:r>
      <w:proofErr w:type="spellEnd"/>
      <w:r>
        <w:t xml:space="preserve">, S. N., &amp; </w:t>
      </w:r>
      <w:proofErr w:type="spellStart"/>
      <w:r>
        <w:t>Gillies</w:t>
      </w:r>
      <w:proofErr w:type="spellEnd"/>
      <w:r>
        <w:t xml:space="preserve">, J. A.  (1993).  Economic evaluation of aesthetic amenities: A case study of river view.  </w:t>
      </w:r>
      <w:r>
        <w:rPr>
          <w:i/>
        </w:rPr>
        <w:t xml:space="preserve"> Water Resources Bulletin: American Water Resources Association</w:t>
      </w:r>
      <w:r>
        <w:t xml:space="preserve">, </w:t>
      </w:r>
      <w:r w:rsidRPr="00E56534">
        <w:rPr>
          <w:i/>
        </w:rPr>
        <w:t>29</w:t>
      </w:r>
      <w:r>
        <w:t>(2), 257-266.</w:t>
      </w:r>
    </w:p>
    <w:p w:rsidR="00804D3B" w:rsidRDefault="00366B12" w:rsidP="007873FF">
      <w:pPr>
        <w:autoSpaceDE w:val="0"/>
        <w:autoSpaceDN w:val="0"/>
        <w:adjustRightInd w:val="0"/>
        <w:spacing w:line="400" w:lineRule="atLeast"/>
        <w:ind w:left="720" w:hanging="720"/>
      </w:pPr>
      <w:proofErr w:type="spellStart"/>
      <w:r>
        <w:t>Hjerpe</w:t>
      </w:r>
      <w:proofErr w:type="spellEnd"/>
      <w:r>
        <w:t>, E. E., &amp; Kim, Y. S.  (2007)</w:t>
      </w:r>
      <w:proofErr w:type="gramStart"/>
      <w:r>
        <w:t>.  Regional economic impacts of Grand Canyon river runners.</w:t>
      </w:r>
      <w:proofErr w:type="gramEnd"/>
      <w:r>
        <w:t xml:space="preserve">  </w:t>
      </w:r>
      <w:r>
        <w:rPr>
          <w:i/>
        </w:rPr>
        <w:t>Journal of Environmental Management</w:t>
      </w:r>
      <w:r>
        <w:t>, 85: 137-149.</w:t>
      </w:r>
    </w:p>
    <w:p w:rsidR="0083516C" w:rsidRDefault="0083516C" w:rsidP="007873FF">
      <w:pPr>
        <w:autoSpaceDE w:val="0"/>
        <w:autoSpaceDN w:val="0"/>
        <w:adjustRightInd w:val="0"/>
        <w:spacing w:line="400" w:lineRule="atLeast"/>
        <w:ind w:left="720" w:hanging="720"/>
      </w:pPr>
      <w:r>
        <w:t xml:space="preserve">Jordan, D., </w:t>
      </w:r>
      <w:proofErr w:type="spellStart"/>
      <w:r>
        <w:t>DeGraaf</w:t>
      </w:r>
      <w:proofErr w:type="spellEnd"/>
      <w:r>
        <w:t xml:space="preserve">, D., &amp; </w:t>
      </w:r>
      <w:proofErr w:type="spellStart"/>
      <w:r>
        <w:t>DeGraaf</w:t>
      </w:r>
      <w:proofErr w:type="spellEnd"/>
      <w:r>
        <w:t xml:space="preserve">, K.  (2005).  </w:t>
      </w:r>
      <w:r w:rsidRPr="003F1ECF">
        <w:rPr>
          <w:i/>
        </w:rPr>
        <w:t>Programming for parks, recreation, and leisure services: A servant leadership approach</w:t>
      </w:r>
      <w:r>
        <w:t>.  State College, PA: Venture.</w:t>
      </w:r>
    </w:p>
    <w:p w:rsidR="0083516C" w:rsidRDefault="0083516C" w:rsidP="0083516C">
      <w:pPr>
        <w:autoSpaceDE w:val="0"/>
        <w:autoSpaceDN w:val="0"/>
        <w:adjustRightInd w:val="0"/>
        <w:spacing w:line="400" w:lineRule="atLeast"/>
        <w:ind w:left="720" w:hanging="720"/>
      </w:pPr>
      <w:proofErr w:type="gramStart"/>
      <w:r>
        <w:t xml:space="preserve">Loomis, J., Kent, P., Strange, L., </w:t>
      </w:r>
      <w:proofErr w:type="spellStart"/>
      <w:r>
        <w:t>Fausch</w:t>
      </w:r>
      <w:proofErr w:type="spellEnd"/>
      <w:r>
        <w:t xml:space="preserve">, K., &amp; </w:t>
      </w:r>
      <w:proofErr w:type="spellStart"/>
      <w:r>
        <w:t>Covich</w:t>
      </w:r>
      <w:proofErr w:type="spellEnd"/>
      <w:r>
        <w:t>, A.</w:t>
      </w:r>
      <w:proofErr w:type="gramEnd"/>
      <w:r>
        <w:t xml:space="preserve">  (2000).  Measuring the total economic value of restoring ecosystem services in an impaired river basin: Results from a contingent valuation survey.  </w:t>
      </w:r>
      <w:r w:rsidRPr="003F1ECF">
        <w:rPr>
          <w:i/>
        </w:rPr>
        <w:t>Ecological Economics</w:t>
      </w:r>
      <w:r>
        <w:t>, 33, 103-117.</w:t>
      </w:r>
    </w:p>
    <w:p w:rsidR="0083516C" w:rsidRPr="00B5781C" w:rsidRDefault="00E04443" w:rsidP="007873FF">
      <w:pPr>
        <w:autoSpaceDE w:val="0"/>
        <w:autoSpaceDN w:val="0"/>
        <w:adjustRightInd w:val="0"/>
        <w:spacing w:line="400" w:lineRule="atLeast"/>
        <w:ind w:left="720" w:hanging="720"/>
      </w:pPr>
      <w:r>
        <w:t>Loomis</w:t>
      </w:r>
      <w:r w:rsidR="0083516C">
        <w:t>, J., &amp; Walsh, R.</w:t>
      </w:r>
      <w:r w:rsidR="00B5781C">
        <w:t xml:space="preserve"> (1997). </w:t>
      </w:r>
      <w:r w:rsidR="00B5781C">
        <w:rPr>
          <w:i/>
        </w:rPr>
        <w:t>Recreation economic decisions: Comparing benefits and costs</w:t>
      </w:r>
      <w:r w:rsidR="00B5781C">
        <w:t xml:space="preserve"> (2</w:t>
      </w:r>
      <w:r w:rsidR="00B5781C" w:rsidRPr="00B5781C">
        <w:rPr>
          <w:vertAlign w:val="superscript"/>
        </w:rPr>
        <w:t>nd</w:t>
      </w:r>
      <w:r w:rsidR="00B5781C">
        <w:t xml:space="preserve"> ed.). State College, PA: Venture Publishing.</w:t>
      </w:r>
    </w:p>
    <w:p w:rsidR="00956A68" w:rsidRDefault="00F51A6B" w:rsidP="007873FF">
      <w:pPr>
        <w:autoSpaceDE w:val="0"/>
        <w:autoSpaceDN w:val="0"/>
        <w:adjustRightInd w:val="0"/>
        <w:spacing w:line="400" w:lineRule="atLeast"/>
        <w:ind w:left="720" w:hanging="720"/>
      </w:pPr>
      <w:r>
        <w:t>Sims, C.  (2002</w:t>
      </w:r>
      <w:r w:rsidR="00956A68">
        <w:t>)</w:t>
      </w:r>
      <w:proofErr w:type="gramStart"/>
      <w:r w:rsidR="00956A68">
        <w:t xml:space="preserve">.  </w:t>
      </w:r>
      <w:r w:rsidR="00956A68" w:rsidRPr="003F1ECF">
        <w:rPr>
          <w:i/>
        </w:rPr>
        <w:t>Economic expenditure and use data on whitewater boating activity</w:t>
      </w:r>
      <w:r w:rsidR="00956A68">
        <w:t>.</w:t>
      </w:r>
      <w:proofErr w:type="gramEnd"/>
      <w:r w:rsidR="00956A68">
        <w:t xml:space="preserve">  </w:t>
      </w:r>
      <w:r w:rsidR="00E37BAE">
        <w:t>Department of Forestry: University of Tennessee.</w:t>
      </w:r>
    </w:p>
    <w:p w:rsidR="0083516C" w:rsidRDefault="0083516C" w:rsidP="007873FF">
      <w:pPr>
        <w:autoSpaceDE w:val="0"/>
        <w:autoSpaceDN w:val="0"/>
        <w:adjustRightInd w:val="0"/>
        <w:spacing w:line="400" w:lineRule="atLeast"/>
        <w:ind w:left="720" w:hanging="720"/>
      </w:pPr>
      <w:proofErr w:type="spellStart"/>
      <w:proofErr w:type="gramStart"/>
      <w:r>
        <w:t>Stynes</w:t>
      </w:r>
      <w:proofErr w:type="spellEnd"/>
      <w:r>
        <w:t xml:space="preserve">, D.J., </w:t>
      </w:r>
      <w:proofErr w:type="spellStart"/>
      <w:r>
        <w:t>Propst</w:t>
      </w:r>
      <w:proofErr w:type="spellEnd"/>
      <w:r>
        <w:t>, D.B., Chang, W., &amp; Sun, Y. (2000, May).</w:t>
      </w:r>
      <w:proofErr w:type="gramEnd"/>
      <w:r>
        <w:t xml:space="preserve"> </w:t>
      </w:r>
      <w:proofErr w:type="gramStart"/>
      <w:r>
        <w:rPr>
          <w:i/>
        </w:rPr>
        <w:t>Estimating national park visitor spending and economic impacts; The MGM2 Model.</w:t>
      </w:r>
      <w:proofErr w:type="gramEnd"/>
      <w:r>
        <w:t xml:space="preserve"> East Lansing, Michigan: Michigan State University, Department of Park, Recreation and Tourism Resources.</w:t>
      </w:r>
    </w:p>
    <w:p w:rsidR="003F1ECF" w:rsidRPr="0083516C" w:rsidRDefault="003F1ECF" w:rsidP="007873FF">
      <w:pPr>
        <w:autoSpaceDE w:val="0"/>
        <w:autoSpaceDN w:val="0"/>
        <w:adjustRightInd w:val="0"/>
        <w:spacing w:line="400" w:lineRule="atLeast"/>
        <w:ind w:left="720" w:hanging="720"/>
      </w:pPr>
    </w:p>
    <w:tbl>
      <w:tblPr>
        <w:tblW w:w="8608" w:type="dxa"/>
        <w:tblInd w:w="108" w:type="dxa"/>
        <w:tblLook w:val="04A0" w:firstRow="1" w:lastRow="0" w:firstColumn="1" w:lastColumn="0" w:noHBand="0" w:noVBand="1"/>
      </w:tblPr>
      <w:tblGrid>
        <w:gridCol w:w="2835"/>
        <w:gridCol w:w="1121"/>
        <w:gridCol w:w="983"/>
        <w:gridCol w:w="1177"/>
        <w:gridCol w:w="1116"/>
        <w:gridCol w:w="1376"/>
      </w:tblGrid>
      <w:tr w:rsidR="00961041" w:rsidRPr="00961041" w:rsidTr="00961041">
        <w:trPr>
          <w:trHeight w:val="270"/>
        </w:trPr>
        <w:tc>
          <w:tcPr>
            <w:tcW w:w="6116" w:type="dxa"/>
            <w:gridSpan w:val="4"/>
            <w:tcBorders>
              <w:top w:val="nil"/>
              <w:left w:val="nil"/>
              <w:bottom w:val="double" w:sz="6" w:space="0" w:color="auto"/>
              <w:right w:val="nil"/>
            </w:tcBorders>
            <w:shd w:val="clear" w:color="auto" w:fill="auto"/>
            <w:noWrap/>
            <w:vAlign w:val="bottom"/>
            <w:hideMark/>
          </w:tcPr>
          <w:p w:rsidR="00961041" w:rsidRPr="00961041" w:rsidRDefault="008E7BD4">
            <w:pPr>
              <w:rPr>
                <w:bCs/>
              </w:rPr>
            </w:pPr>
            <w:r>
              <w:rPr>
                <w:bCs/>
              </w:rPr>
              <w:lastRenderedPageBreak/>
              <w:t>Table 1</w:t>
            </w:r>
            <w:r w:rsidR="00961041" w:rsidRPr="00961041">
              <w:rPr>
                <w:bCs/>
              </w:rPr>
              <w:t>. Direct and Total Effects of Visitor Spending</w:t>
            </w:r>
          </w:p>
        </w:tc>
        <w:tc>
          <w:tcPr>
            <w:tcW w:w="1116" w:type="dxa"/>
            <w:tcBorders>
              <w:top w:val="nil"/>
              <w:left w:val="nil"/>
              <w:bottom w:val="double" w:sz="6" w:space="0" w:color="auto"/>
              <w:right w:val="nil"/>
            </w:tcBorders>
            <w:shd w:val="clear" w:color="auto" w:fill="auto"/>
            <w:noWrap/>
            <w:vAlign w:val="bottom"/>
            <w:hideMark/>
          </w:tcPr>
          <w:p w:rsidR="00961041" w:rsidRPr="00961041" w:rsidRDefault="00961041">
            <w:r w:rsidRPr="00961041">
              <w:t> </w:t>
            </w:r>
          </w:p>
        </w:tc>
        <w:tc>
          <w:tcPr>
            <w:tcW w:w="1376" w:type="dxa"/>
            <w:tcBorders>
              <w:top w:val="nil"/>
              <w:left w:val="nil"/>
              <w:bottom w:val="double" w:sz="6" w:space="0" w:color="auto"/>
              <w:right w:val="nil"/>
            </w:tcBorders>
            <w:shd w:val="clear" w:color="auto" w:fill="auto"/>
            <w:noWrap/>
            <w:vAlign w:val="bottom"/>
            <w:hideMark/>
          </w:tcPr>
          <w:p w:rsidR="00961041" w:rsidRPr="00961041" w:rsidRDefault="00961041">
            <w:r w:rsidRPr="00961041">
              <w:t> </w:t>
            </w:r>
          </w:p>
        </w:tc>
      </w:tr>
      <w:tr w:rsidR="00961041" w:rsidRPr="00961041" w:rsidTr="00961041">
        <w:trPr>
          <w:trHeight w:val="270"/>
        </w:trPr>
        <w:tc>
          <w:tcPr>
            <w:tcW w:w="2835" w:type="dxa"/>
            <w:tcBorders>
              <w:top w:val="nil"/>
              <w:left w:val="nil"/>
              <w:bottom w:val="nil"/>
              <w:right w:val="nil"/>
            </w:tcBorders>
            <w:shd w:val="clear" w:color="auto" w:fill="auto"/>
            <w:noWrap/>
            <w:vAlign w:val="bottom"/>
            <w:hideMark/>
          </w:tcPr>
          <w:p w:rsidR="00961041" w:rsidRPr="00961041" w:rsidRDefault="00961041"/>
        </w:tc>
        <w:tc>
          <w:tcPr>
            <w:tcW w:w="4397" w:type="dxa"/>
            <w:gridSpan w:val="4"/>
            <w:tcBorders>
              <w:top w:val="nil"/>
              <w:left w:val="nil"/>
              <w:bottom w:val="nil"/>
              <w:right w:val="nil"/>
            </w:tcBorders>
            <w:shd w:val="clear" w:color="auto" w:fill="auto"/>
            <w:noWrap/>
            <w:vAlign w:val="bottom"/>
            <w:hideMark/>
          </w:tcPr>
          <w:p w:rsidR="00961041" w:rsidRPr="00961041" w:rsidRDefault="00961041">
            <w:pPr>
              <w:jc w:val="center"/>
              <w:rPr>
                <w:u w:val="single"/>
              </w:rPr>
            </w:pPr>
            <w:r w:rsidRPr="00961041">
              <w:rPr>
                <w:u w:val="single"/>
              </w:rPr>
              <w:t>Visitor segments</w:t>
            </w:r>
          </w:p>
        </w:tc>
        <w:tc>
          <w:tcPr>
            <w:tcW w:w="1376" w:type="dxa"/>
            <w:tcBorders>
              <w:top w:val="nil"/>
              <w:left w:val="nil"/>
              <w:bottom w:val="nil"/>
              <w:right w:val="nil"/>
            </w:tcBorders>
            <w:shd w:val="clear" w:color="auto" w:fill="auto"/>
            <w:noWrap/>
            <w:vAlign w:val="bottom"/>
            <w:hideMark/>
          </w:tcPr>
          <w:p w:rsidR="00961041" w:rsidRPr="00961041" w:rsidRDefault="00961041">
            <w:pPr>
              <w:rPr>
                <w:b/>
                <w:bCs/>
              </w:rPr>
            </w:pPr>
          </w:p>
        </w:tc>
      </w:tr>
      <w:tr w:rsidR="00961041" w:rsidRPr="00961041" w:rsidTr="00961041">
        <w:trPr>
          <w:trHeight w:val="255"/>
        </w:trPr>
        <w:tc>
          <w:tcPr>
            <w:tcW w:w="2835" w:type="dxa"/>
            <w:tcBorders>
              <w:top w:val="nil"/>
              <w:left w:val="nil"/>
              <w:bottom w:val="single" w:sz="4" w:space="0" w:color="auto"/>
              <w:right w:val="nil"/>
            </w:tcBorders>
            <w:shd w:val="clear" w:color="auto" w:fill="auto"/>
            <w:noWrap/>
            <w:vAlign w:val="bottom"/>
            <w:hideMark/>
          </w:tcPr>
          <w:p w:rsidR="00961041" w:rsidRPr="00961041" w:rsidRDefault="00961041">
            <w:r w:rsidRPr="00961041">
              <w:t> </w:t>
            </w:r>
          </w:p>
        </w:tc>
        <w:tc>
          <w:tcPr>
            <w:tcW w:w="1121" w:type="dxa"/>
            <w:tcBorders>
              <w:top w:val="nil"/>
              <w:left w:val="nil"/>
              <w:bottom w:val="single" w:sz="4" w:space="0" w:color="auto"/>
              <w:right w:val="nil"/>
            </w:tcBorders>
            <w:shd w:val="clear" w:color="auto" w:fill="auto"/>
            <w:noWrap/>
            <w:vAlign w:val="bottom"/>
            <w:hideMark/>
          </w:tcPr>
          <w:p w:rsidR="00961041" w:rsidRPr="00961041" w:rsidRDefault="00961041">
            <w:r w:rsidRPr="00961041">
              <w:t>Local</w:t>
            </w:r>
          </w:p>
        </w:tc>
        <w:tc>
          <w:tcPr>
            <w:tcW w:w="983" w:type="dxa"/>
            <w:tcBorders>
              <w:top w:val="nil"/>
              <w:left w:val="nil"/>
              <w:bottom w:val="single" w:sz="4" w:space="0" w:color="auto"/>
              <w:right w:val="nil"/>
            </w:tcBorders>
            <w:shd w:val="clear" w:color="auto" w:fill="auto"/>
            <w:noWrap/>
            <w:vAlign w:val="bottom"/>
            <w:hideMark/>
          </w:tcPr>
          <w:p w:rsidR="00961041" w:rsidRPr="00961041" w:rsidRDefault="00961041">
            <w:pPr>
              <w:jc w:val="center"/>
            </w:pPr>
            <w:r w:rsidRPr="00961041">
              <w:t>NL-Day</w:t>
            </w:r>
          </w:p>
        </w:tc>
        <w:tc>
          <w:tcPr>
            <w:tcW w:w="1177" w:type="dxa"/>
            <w:tcBorders>
              <w:top w:val="nil"/>
              <w:left w:val="nil"/>
              <w:bottom w:val="single" w:sz="4" w:space="0" w:color="auto"/>
              <w:right w:val="nil"/>
            </w:tcBorders>
            <w:shd w:val="clear" w:color="auto" w:fill="auto"/>
            <w:noWrap/>
            <w:vAlign w:val="bottom"/>
            <w:hideMark/>
          </w:tcPr>
          <w:p w:rsidR="00961041" w:rsidRPr="00961041" w:rsidRDefault="00961041">
            <w:pPr>
              <w:jc w:val="center"/>
            </w:pPr>
            <w:r w:rsidRPr="00961041">
              <w:t>Motel</w:t>
            </w:r>
          </w:p>
        </w:tc>
        <w:tc>
          <w:tcPr>
            <w:tcW w:w="1116" w:type="dxa"/>
            <w:tcBorders>
              <w:top w:val="nil"/>
              <w:left w:val="nil"/>
              <w:bottom w:val="single" w:sz="4" w:space="0" w:color="auto"/>
              <w:right w:val="nil"/>
            </w:tcBorders>
            <w:shd w:val="clear" w:color="auto" w:fill="auto"/>
            <w:noWrap/>
            <w:vAlign w:val="bottom"/>
            <w:hideMark/>
          </w:tcPr>
          <w:p w:rsidR="00961041" w:rsidRPr="00961041" w:rsidRDefault="00961041">
            <w:pPr>
              <w:jc w:val="center"/>
            </w:pPr>
            <w:r w:rsidRPr="00961041">
              <w:t>Camp</w:t>
            </w:r>
          </w:p>
        </w:tc>
        <w:tc>
          <w:tcPr>
            <w:tcW w:w="1376" w:type="dxa"/>
            <w:tcBorders>
              <w:top w:val="nil"/>
              <w:left w:val="nil"/>
              <w:bottom w:val="single" w:sz="4" w:space="0" w:color="auto"/>
              <w:right w:val="nil"/>
            </w:tcBorders>
            <w:shd w:val="clear" w:color="auto" w:fill="auto"/>
            <w:noWrap/>
            <w:vAlign w:val="bottom"/>
            <w:hideMark/>
          </w:tcPr>
          <w:p w:rsidR="00961041" w:rsidRPr="00961041" w:rsidRDefault="00961041">
            <w:pPr>
              <w:jc w:val="right"/>
            </w:pPr>
            <w:r w:rsidRPr="00961041">
              <w:t xml:space="preserve">Total </w:t>
            </w:r>
          </w:p>
        </w:tc>
      </w:tr>
      <w:tr w:rsidR="00961041" w:rsidRPr="00961041" w:rsidTr="00961041">
        <w:trPr>
          <w:trHeight w:val="255"/>
        </w:trPr>
        <w:tc>
          <w:tcPr>
            <w:tcW w:w="2835" w:type="dxa"/>
            <w:tcBorders>
              <w:top w:val="nil"/>
              <w:left w:val="nil"/>
              <w:bottom w:val="nil"/>
              <w:right w:val="nil"/>
            </w:tcBorders>
            <w:shd w:val="clear" w:color="auto" w:fill="auto"/>
            <w:noWrap/>
            <w:vAlign w:val="bottom"/>
            <w:hideMark/>
          </w:tcPr>
          <w:p w:rsidR="00961041" w:rsidRPr="00961041" w:rsidRDefault="00961041">
            <w:pPr>
              <w:rPr>
                <w:b/>
                <w:bCs/>
              </w:rPr>
            </w:pPr>
            <w:r w:rsidRPr="00961041">
              <w:rPr>
                <w:b/>
                <w:bCs/>
              </w:rPr>
              <w:t>Spending captured</w:t>
            </w:r>
          </w:p>
        </w:tc>
        <w:tc>
          <w:tcPr>
            <w:tcW w:w="1121"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   </w:t>
            </w:r>
          </w:p>
        </w:tc>
        <w:tc>
          <w:tcPr>
            <w:tcW w:w="983"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   </w:t>
            </w:r>
          </w:p>
        </w:tc>
        <w:tc>
          <w:tcPr>
            <w:tcW w:w="1177"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153.74 </w:t>
            </w:r>
          </w:p>
        </w:tc>
        <w:tc>
          <w:tcPr>
            <w:tcW w:w="1116"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13.73 </w:t>
            </w:r>
          </w:p>
        </w:tc>
        <w:tc>
          <w:tcPr>
            <w:tcW w:w="1376"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167.47 </w:t>
            </w:r>
          </w:p>
        </w:tc>
      </w:tr>
      <w:tr w:rsidR="00961041" w:rsidRPr="00961041" w:rsidTr="00961041">
        <w:trPr>
          <w:trHeight w:val="255"/>
        </w:trPr>
        <w:tc>
          <w:tcPr>
            <w:tcW w:w="2835" w:type="dxa"/>
            <w:tcBorders>
              <w:top w:val="nil"/>
              <w:left w:val="nil"/>
              <w:bottom w:val="nil"/>
              <w:right w:val="nil"/>
            </w:tcBorders>
            <w:shd w:val="clear" w:color="auto" w:fill="auto"/>
            <w:noWrap/>
            <w:vAlign w:val="bottom"/>
            <w:hideMark/>
          </w:tcPr>
          <w:p w:rsidR="00961041" w:rsidRPr="00961041" w:rsidRDefault="00961041"/>
        </w:tc>
        <w:tc>
          <w:tcPr>
            <w:tcW w:w="1121" w:type="dxa"/>
            <w:tcBorders>
              <w:top w:val="nil"/>
              <w:left w:val="nil"/>
              <w:bottom w:val="nil"/>
              <w:right w:val="nil"/>
            </w:tcBorders>
            <w:shd w:val="clear" w:color="auto" w:fill="auto"/>
            <w:noWrap/>
            <w:vAlign w:val="bottom"/>
            <w:hideMark/>
          </w:tcPr>
          <w:p w:rsidR="00961041" w:rsidRPr="00961041" w:rsidRDefault="00961041"/>
        </w:tc>
        <w:tc>
          <w:tcPr>
            <w:tcW w:w="983" w:type="dxa"/>
            <w:tcBorders>
              <w:top w:val="nil"/>
              <w:left w:val="nil"/>
              <w:bottom w:val="nil"/>
              <w:right w:val="nil"/>
            </w:tcBorders>
            <w:shd w:val="clear" w:color="auto" w:fill="auto"/>
            <w:noWrap/>
            <w:vAlign w:val="bottom"/>
            <w:hideMark/>
          </w:tcPr>
          <w:p w:rsidR="00961041" w:rsidRPr="00961041" w:rsidRDefault="00961041"/>
        </w:tc>
        <w:tc>
          <w:tcPr>
            <w:tcW w:w="1177" w:type="dxa"/>
            <w:tcBorders>
              <w:top w:val="nil"/>
              <w:left w:val="nil"/>
              <w:bottom w:val="nil"/>
              <w:right w:val="nil"/>
            </w:tcBorders>
            <w:shd w:val="clear" w:color="auto" w:fill="auto"/>
            <w:noWrap/>
            <w:vAlign w:val="bottom"/>
            <w:hideMark/>
          </w:tcPr>
          <w:p w:rsidR="00961041" w:rsidRPr="00961041" w:rsidRDefault="00961041"/>
        </w:tc>
        <w:tc>
          <w:tcPr>
            <w:tcW w:w="1116" w:type="dxa"/>
            <w:tcBorders>
              <w:top w:val="nil"/>
              <w:left w:val="nil"/>
              <w:bottom w:val="nil"/>
              <w:right w:val="nil"/>
            </w:tcBorders>
            <w:shd w:val="clear" w:color="auto" w:fill="auto"/>
            <w:noWrap/>
            <w:vAlign w:val="bottom"/>
            <w:hideMark/>
          </w:tcPr>
          <w:p w:rsidR="00961041" w:rsidRPr="00961041" w:rsidRDefault="00961041"/>
        </w:tc>
        <w:tc>
          <w:tcPr>
            <w:tcW w:w="1376" w:type="dxa"/>
            <w:tcBorders>
              <w:top w:val="nil"/>
              <w:left w:val="nil"/>
              <w:bottom w:val="nil"/>
              <w:right w:val="nil"/>
            </w:tcBorders>
            <w:shd w:val="clear" w:color="auto" w:fill="auto"/>
            <w:noWrap/>
            <w:vAlign w:val="bottom"/>
            <w:hideMark/>
          </w:tcPr>
          <w:p w:rsidR="00961041" w:rsidRPr="00961041" w:rsidRDefault="00961041"/>
        </w:tc>
      </w:tr>
      <w:tr w:rsidR="00961041" w:rsidRPr="00961041" w:rsidTr="00961041">
        <w:trPr>
          <w:trHeight w:val="255"/>
        </w:trPr>
        <w:tc>
          <w:tcPr>
            <w:tcW w:w="2835" w:type="dxa"/>
            <w:tcBorders>
              <w:top w:val="nil"/>
              <w:left w:val="nil"/>
              <w:bottom w:val="nil"/>
              <w:right w:val="nil"/>
            </w:tcBorders>
            <w:shd w:val="clear" w:color="auto" w:fill="auto"/>
            <w:noWrap/>
            <w:vAlign w:val="bottom"/>
            <w:hideMark/>
          </w:tcPr>
          <w:p w:rsidR="00961041" w:rsidRPr="00961041" w:rsidRDefault="00961041">
            <w:pPr>
              <w:rPr>
                <w:b/>
                <w:bCs/>
              </w:rPr>
            </w:pPr>
            <w:r w:rsidRPr="00961041">
              <w:rPr>
                <w:b/>
                <w:bCs/>
              </w:rPr>
              <w:t>Direct Economic effects</w:t>
            </w:r>
          </w:p>
        </w:tc>
        <w:tc>
          <w:tcPr>
            <w:tcW w:w="1121" w:type="dxa"/>
            <w:tcBorders>
              <w:top w:val="nil"/>
              <w:left w:val="nil"/>
              <w:bottom w:val="nil"/>
              <w:right w:val="nil"/>
            </w:tcBorders>
            <w:shd w:val="clear" w:color="auto" w:fill="auto"/>
            <w:noWrap/>
            <w:vAlign w:val="bottom"/>
            <w:hideMark/>
          </w:tcPr>
          <w:p w:rsidR="00961041" w:rsidRPr="00961041" w:rsidRDefault="00961041"/>
        </w:tc>
        <w:tc>
          <w:tcPr>
            <w:tcW w:w="983" w:type="dxa"/>
            <w:tcBorders>
              <w:top w:val="nil"/>
              <w:left w:val="nil"/>
              <w:bottom w:val="nil"/>
              <w:right w:val="nil"/>
            </w:tcBorders>
            <w:shd w:val="clear" w:color="auto" w:fill="auto"/>
            <w:noWrap/>
            <w:vAlign w:val="bottom"/>
            <w:hideMark/>
          </w:tcPr>
          <w:p w:rsidR="00961041" w:rsidRPr="00961041" w:rsidRDefault="00961041"/>
        </w:tc>
        <w:tc>
          <w:tcPr>
            <w:tcW w:w="1177" w:type="dxa"/>
            <w:tcBorders>
              <w:top w:val="nil"/>
              <w:left w:val="nil"/>
              <w:bottom w:val="nil"/>
              <w:right w:val="nil"/>
            </w:tcBorders>
            <w:shd w:val="clear" w:color="auto" w:fill="auto"/>
            <w:noWrap/>
            <w:vAlign w:val="bottom"/>
            <w:hideMark/>
          </w:tcPr>
          <w:p w:rsidR="00961041" w:rsidRPr="00961041" w:rsidRDefault="00961041"/>
        </w:tc>
        <w:tc>
          <w:tcPr>
            <w:tcW w:w="1116" w:type="dxa"/>
            <w:tcBorders>
              <w:top w:val="nil"/>
              <w:left w:val="nil"/>
              <w:bottom w:val="nil"/>
              <w:right w:val="nil"/>
            </w:tcBorders>
            <w:shd w:val="clear" w:color="auto" w:fill="auto"/>
            <w:noWrap/>
            <w:vAlign w:val="bottom"/>
            <w:hideMark/>
          </w:tcPr>
          <w:p w:rsidR="00961041" w:rsidRPr="00961041" w:rsidRDefault="00961041"/>
        </w:tc>
        <w:tc>
          <w:tcPr>
            <w:tcW w:w="1376" w:type="dxa"/>
            <w:tcBorders>
              <w:top w:val="nil"/>
              <w:left w:val="nil"/>
              <w:bottom w:val="nil"/>
              <w:right w:val="nil"/>
            </w:tcBorders>
            <w:shd w:val="clear" w:color="auto" w:fill="auto"/>
            <w:noWrap/>
            <w:vAlign w:val="bottom"/>
            <w:hideMark/>
          </w:tcPr>
          <w:p w:rsidR="00961041" w:rsidRPr="00961041" w:rsidRDefault="00961041"/>
        </w:tc>
      </w:tr>
      <w:tr w:rsidR="00961041" w:rsidRPr="00961041" w:rsidTr="00961041">
        <w:trPr>
          <w:trHeight w:val="255"/>
        </w:trPr>
        <w:tc>
          <w:tcPr>
            <w:tcW w:w="2835" w:type="dxa"/>
            <w:tcBorders>
              <w:top w:val="nil"/>
              <w:left w:val="nil"/>
              <w:bottom w:val="nil"/>
              <w:right w:val="nil"/>
            </w:tcBorders>
            <w:shd w:val="clear" w:color="auto" w:fill="auto"/>
            <w:noWrap/>
            <w:vAlign w:val="bottom"/>
            <w:hideMark/>
          </w:tcPr>
          <w:p w:rsidR="00961041" w:rsidRPr="00961041" w:rsidRDefault="00961041">
            <w:r w:rsidRPr="00961041">
              <w:t>Sales ($000's)</w:t>
            </w:r>
          </w:p>
        </w:tc>
        <w:tc>
          <w:tcPr>
            <w:tcW w:w="1121"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   </w:t>
            </w:r>
          </w:p>
        </w:tc>
        <w:tc>
          <w:tcPr>
            <w:tcW w:w="983"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   </w:t>
            </w:r>
          </w:p>
        </w:tc>
        <w:tc>
          <w:tcPr>
            <w:tcW w:w="1177"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153.74 </w:t>
            </w:r>
          </w:p>
        </w:tc>
        <w:tc>
          <w:tcPr>
            <w:tcW w:w="1116"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13.73 </w:t>
            </w:r>
          </w:p>
        </w:tc>
        <w:tc>
          <w:tcPr>
            <w:tcW w:w="1376"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167.47 </w:t>
            </w:r>
          </w:p>
        </w:tc>
      </w:tr>
      <w:tr w:rsidR="00961041" w:rsidRPr="00961041" w:rsidTr="00961041">
        <w:trPr>
          <w:trHeight w:val="255"/>
        </w:trPr>
        <w:tc>
          <w:tcPr>
            <w:tcW w:w="2835" w:type="dxa"/>
            <w:tcBorders>
              <w:top w:val="nil"/>
              <w:left w:val="nil"/>
              <w:bottom w:val="nil"/>
              <w:right w:val="nil"/>
            </w:tcBorders>
            <w:shd w:val="clear" w:color="auto" w:fill="auto"/>
            <w:noWrap/>
            <w:vAlign w:val="bottom"/>
            <w:hideMark/>
          </w:tcPr>
          <w:p w:rsidR="00961041" w:rsidRPr="00961041" w:rsidRDefault="00961041">
            <w:r w:rsidRPr="00961041">
              <w:t>Personal Income ($000's)</w:t>
            </w:r>
          </w:p>
        </w:tc>
        <w:tc>
          <w:tcPr>
            <w:tcW w:w="1121"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   </w:t>
            </w:r>
          </w:p>
        </w:tc>
        <w:tc>
          <w:tcPr>
            <w:tcW w:w="983"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   </w:t>
            </w:r>
          </w:p>
        </w:tc>
        <w:tc>
          <w:tcPr>
            <w:tcW w:w="1177"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54.48 </w:t>
            </w:r>
          </w:p>
        </w:tc>
        <w:tc>
          <w:tcPr>
            <w:tcW w:w="1116"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4.86 </w:t>
            </w:r>
          </w:p>
        </w:tc>
        <w:tc>
          <w:tcPr>
            <w:tcW w:w="1376"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59.34 </w:t>
            </w:r>
          </w:p>
        </w:tc>
      </w:tr>
      <w:tr w:rsidR="00961041" w:rsidRPr="00961041" w:rsidTr="00961041">
        <w:trPr>
          <w:trHeight w:val="255"/>
        </w:trPr>
        <w:tc>
          <w:tcPr>
            <w:tcW w:w="2835" w:type="dxa"/>
            <w:tcBorders>
              <w:top w:val="nil"/>
              <w:left w:val="nil"/>
              <w:bottom w:val="nil"/>
              <w:right w:val="nil"/>
            </w:tcBorders>
            <w:shd w:val="clear" w:color="auto" w:fill="auto"/>
            <w:noWrap/>
            <w:vAlign w:val="bottom"/>
            <w:hideMark/>
          </w:tcPr>
          <w:p w:rsidR="00961041" w:rsidRPr="00961041" w:rsidRDefault="00961041">
            <w:r w:rsidRPr="00961041">
              <w:t>Jobs</w:t>
            </w:r>
          </w:p>
        </w:tc>
        <w:tc>
          <w:tcPr>
            <w:tcW w:w="1121"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w:t>
            </w:r>
          </w:p>
        </w:tc>
        <w:tc>
          <w:tcPr>
            <w:tcW w:w="983"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w:t>
            </w:r>
          </w:p>
        </w:tc>
        <w:tc>
          <w:tcPr>
            <w:tcW w:w="1177"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3.43 </w:t>
            </w:r>
          </w:p>
        </w:tc>
        <w:tc>
          <w:tcPr>
            <w:tcW w:w="1116"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0.31 </w:t>
            </w:r>
          </w:p>
        </w:tc>
        <w:tc>
          <w:tcPr>
            <w:tcW w:w="1376"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3.74 </w:t>
            </w:r>
          </w:p>
        </w:tc>
      </w:tr>
      <w:tr w:rsidR="00961041" w:rsidRPr="00961041" w:rsidTr="00961041">
        <w:trPr>
          <w:trHeight w:val="255"/>
        </w:trPr>
        <w:tc>
          <w:tcPr>
            <w:tcW w:w="2835" w:type="dxa"/>
            <w:tcBorders>
              <w:top w:val="nil"/>
              <w:left w:val="nil"/>
              <w:bottom w:val="nil"/>
              <w:right w:val="nil"/>
            </w:tcBorders>
            <w:shd w:val="clear" w:color="auto" w:fill="auto"/>
            <w:noWrap/>
            <w:vAlign w:val="bottom"/>
            <w:hideMark/>
          </w:tcPr>
          <w:p w:rsidR="00961041" w:rsidRPr="00961041" w:rsidRDefault="00961041">
            <w:r w:rsidRPr="00961041">
              <w:t>Value added ($000's)</w:t>
            </w:r>
          </w:p>
        </w:tc>
        <w:tc>
          <w:tcPr>
            <w:tcW w:w="1121"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   </w:t>
            </w:r>
          </w:p>
        </w:tc>
        <w:tc>
          <w:tcPr>
            <w:tcW w:w="983"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   </w:t>
            </w:r>
          </w:p>
        </w:tc>
        <w:tc>
          <w:tcPr>
            <w:tcW w:w="1177"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82.55 </w:t>
            </w:r>
          </w:p>
        </w:tc>
        <w:tc>
          <w:tcPr>
            <w:tcW w:w="1116"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7.37 </w:t>
            </w:r>
          </w:p>
        </w:tc>
        <w:tc>
          <w:tcPr>
            <w:tcW w:w="1376"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89.92 </w:t>
            </w:r>
          </w:p>
        </w:tc>
      </w:tr>
      <w:tr w:rsidR="00961041" w:rsidRPr="00961041" w:rsidTr="00961041">
        <w:trPr>
          <w:trHeight w:val="255"/>
        </w:trPr>
        <w:tc>
          <w:tcPr>
            <w:tcW w:w="2835" w:type="dxa"/>
            <w:tcBorders>
              <w:top w:val="nil"/>
              <w:left w:val="nil"/>
              <w:bottom w:val="nil"/>
              <w:right w:val="nil"/>
            </w:tcBorders>
            <w:shd w:val="clear" w:color="auto" w:fill="auto"/>
            <w:noWrap/>
            <w:vAlign w:val="bottom"/>
            <w:hideMark/>
          </w:tcPr>
          <w:p w:rsidR="00961041" w:rsidRPr="00961041" w:rsidRDefault="00961041"/>
        </w:tc>
        <w:tc>
          <w:tcPr>
            <w:tcW w:w="1121" w:type="dxa"/>
            <w:tcBorders>
              <w:top w:val="nil"/>
              <w:left w:val="nil"/>
              <w:bottom w:val="nil"/>
              <w:right w:val="nil"/>
            </w:tcBorders>
            <w:shd w:val="clear" w:color="auto" w:fill="auto"/>
            <w:noWrap/>
            <w:vAlign w:val="bottom"/>
            <w:hideMark/>
          </w:tcPr>
          <w:p w:rsidR="00961041" w:rsidRPr="00961041" w:rsidRDefault="00961041">
            <w:pPr>
              <w:jc w:val="center"/>
            </w:pPr>
          </w:p>
        </w:tc>
        <w:tc>
          <w:tcPr>
            <w:tcW w:w="983" w:type="dxa"/>
            <w:tcBorders>
              <w:top w:val="nil"/>
              <w:left w:val="nil"/>
              <w:bottom w:val="nil"/>
              <w:right w:val="nil"/>
            </w:tcBorders>
            <w:shd w:val="clear" w:color="auto" w:fill="auto"/>
            <w:noWrap/>
            <w:vAlign w:val="bottom"/>
            <w:hideMark/>
          </w:tcPr>
          <w:p w:rsidR="00961041" w:rsidRPr="00961041" w:rsidRDefault="00961041">
            <w:pPr>
              <w:jc w:val="center"/>
            </w:pPr>
          </w:p>
        </w:tc>
        <w:tc>
          <w:tcPr>
            <w:tcW w:w="1177" w:type="dxa"/>
            <w:tcBorders>
              <w:top w:val="nil"/>
              <w:left w:val="nil"/>
              <w:bottom w:val="nil"/>
              <w:right w:val="nil"/>
            </w:tcBorders>
            <w:shd w:val="clear" w:color="auto" w:fill="auto"/>
            <w:noWrap/>
            <w:vAlign w:val="bottom"/>
            <w:hideMark/>
          </w:tcPr>
          <w:p w:rsidR="00961041" w:rsidRPr="00961041" w:rsidRDefault="00961041">
            <w:pPr>
              <w:jc w:val="center"/>
            </w:pPr>
          </w:p>
        </w:tc>
        <w:tc>
          <w:tcPr>
            <w:tcW w:w="1116" w:type="dxa"/>
            <w:tcBorders>
              <w:top w:val="nil"/>
              <w:left w:val="nil"/>
              <w:bottom w:val="nil"/>
              <w:right w:val="nil"/>
            </w:tcBorders>
            <w:shd w:val="clear" w:color="auto" w:fill="auto"/>
            <w:noWrap/>
            <w:vAlign w:val="bottom"/>
            <w:hideMark/>
          </w:tcPr>
          <w:p w:rsidR="00961041" w:rsidRPr="00961041" w:rsidRDefault="00961041">
            <w:pPr>
              <w:jc w:val="center"/>
            </w:pPr>
          </w:p>
        </w:tc>
        <w:tc>
          <w:tcPr>
            <w:tcW w:w="1376" w:type="dxa"/>
            <w:tcBorders>
              <w:top w:val="nil"/>
              <w:left w:val="nil"/>
              <w:bottom w:val="nil"/>
              <w:right w:val="nil"/>
            </w:tcBorders>
            <w:shd w:val="clear" w:color="auto" w:fill="auto"/>
            <w:noWrap/>
            <w:vAlign w:val="bottom"/>
            <w:hideMark/>
          </w:tcPr>
          <w:p w:rsidR="00961041" w:rsidRPr="00961041" w:rsidRDefault="00961041">
            <w:pPr>
              <w:jc w:val="center"/>
            </w:pPr>
          </w:p>
        </w:tc>
      </w:tr>
      <w:tr w:rsidR="00961041" w:rsidRPr="00961041" w:rsidTr="00961041">
        <w:trPr>
          <w:trHeight w:val="255"/>
        </w:trPr>
        <w:tc>
          <w:tcPr>
            <w:tcW w:w="2835" w:type="dxa"/>
            <w:tcBorders>
              <w:top w:val="nil"/>
              <w:left w:val="nil"/>
              <w:bottom w:val="nil"/>
              <w:right w:val="nil"/>
            </w:tcBorders>
            <w:shd w:val="clear" w:color="auto" w:fill="auto"/>
            <w:noWrap/>
            <w:vAlign w:val="bottom"/>
            <w:hideMark/>
          </w:tcPr>
          <w:p w:rsidR="00961041" w:rsidRPr="00961041" w:rsidRDefault="00961041">
            <w:pPr>
              <w:rPr>
                <w:b/>
                <w:bCs/>
              </w:rPr>
            </w:pPr>
            <w:r w:rsidRPr="00961041">
              <w:rPr>
                <w:b/>
                <w:bCs/>
              </w:rPr>
              <w:t>Total Economic Effects</w:t>
            </w:r>
          </w:p>
        </w:tc>
        <w:tc>
          <w:tcPr>
            <w:tcW w:w="1121" w:type="dxa"/>
            <w:tcBorders>
              <w:top w:val="nil"/>
              <w:left w:val="nil"/>
              <w:bottom w:val="nil"/>
              <w:right w:val="nil"/>
            </w:tcBorders>
            <w:shd w:val="clear" w:color="auto" w:fill="auto"/>
            <w:noWrap/>
            <w:vAlign w:val="bottom"/>
            <w:hideMark/>
          </w:tcPr>
          <w:p w:rsidR="00961041" w:rsidRPr="00961041" w:rsidRDefault="00961041">
            <w:pPr>
              <w:jc w:val="center"/>
            </w:pPr>
          </w:p>
        </w:tc>
        <w:tc>
          <w:tcPr>
            <w:tcW w:w="983" w:type="dxa"/>
            <w:tcBorders>
              <w:top w:val="nil"/>
              <w:left w:val="nil"/>
              <w:bottom w:val="nil"/>
              <w:right w:val="nil"/>
            </w:tcBorders>
            <w:shd w:val="clear" w:color="auto" w:fill="auto"/>
            <w:noWrap/>
            <w:vAlign w:val="bottom"/>
            <w:hideMark/>
          </w:tcPr>
          <w:p w:rsidR="00961041" w:rsidRPr="00961041" w:rsidRDefault="00961041">
            <w:pPr>
              <w:jc w:val="center"/>
            </w:pPr>
          </w:p>
        </w:tc>
        <w:tc>
          <w:tcPr>
            <w:tcW w:w="1177" w:type="dxa"/>
            <w:tcBorders>
              <w:top w:val="nil"/>
              <w:left w:val="nil"/>
              <w:bottom w:val="nil"/>
              <w:right w:val="nil"/>
            </w:tcBorders>
            <w:shd w:val="clear" w:color="auto" w:fill="auto"/>
            <w:noWrap/>
            <w:vAlign w:val="bottom"/>
            <w:hideMark/>
          </w:tcPr>
          <w:p w:rsidR="00961041" w:rsidRPr="00961041" w:rsidRDefault="00961041">
            <w:pPr>
              <w:jc w:val="center"/>
            </w:pPr>
          </w:p>
        </w:tc>
        <w:tc>
          <w:tcPr>
            <w:tcW w:w="1116" w:type="dxa"/>
            <w:tcBorders>
              <w:top w:val="nil"/>
              <w:left w:val="nil"/>
              <w:bottom w:val="nil"/>
              <w:right w:val="nil"/>
            </w:tcBorders>
            <w:shd w:val="clear" w:color="auto" w:fill="auto"/>
            <w:noWrap/>
            <w:vAlign w:val="bottom"/>
            <w:hideMark/>
          </w:tcPr>
          <w:p w:rsidR="00961041" w:rsidRPr="00961041" w:rsidRDefault="00961041">
            <w:pPr>
              <w:jc w:val="center"/>
            </w:pPr>
          </w:p>
        </w:tc>
        <w:tc>
          <w:tcPr>
            <w:tcW w:w="1376" w:type="dxa"/>
            <w:tcBorders>
              <w:top w:val="nil"/>
              <w:left w:val="nil"/>
              <w:bottom w:val="nil"/>
              <w:right w:val="nil"/>
            </w:tcBorders>
            <w:shd w:val="clear" w:color="auto" w:fill="auto"/>
            <w:noWrap/>
            <w:vAlign w:val="bottom"/>
            <w:hideMark/>
          </w:tcPr>
          <w:p w:rsidR="00961041" w:rsidRPr="00961041" w:rsidRDefault="00961041">
            <w:pPr>
              <w:jc w:val="center"/>
            </w:pPr>
          </w:p>
        </w:tc>
      </w:tr>
      <w:tr w:rsidR="00961041" w:rsidRPr="00961041" w:rsidTr="00961041">
        <w:trPr>
          <w:trHeight w:val="255"/>
        </w:trPr>
        <w:tc>
          <w:tcPr>
            <w:tcW w:w="2835" w:type="dxa"/>
            <w:tcBorders>
              <w:top w:val="nil"/>
              <w:left w:val="nil"/>
              <w:bottom w:val="nil"/>
              <w:right w:val="nil"/>
            </w:tcBorders>
            <w:shd w:val="clear" w:color="auto" w:fill="auto"/>
            <w:noWrap/>
            <w:vAlign w:val="bottom"/>
            <w:hideMark/>
          </w:tcPr>
          <w:p w:rsidR="00961041" w:rsidRPr="00961041" w:rsidRDefault="00961041">
            <w:r w:rsidRPr="00961041">
              <w:t>Sales ($000's)</w:t>
            </w:r>
          </w:p>
        </w:tc>
        <w:tc>
          <w:tcPr>
            <w:tcW w:w="1121"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   </w:t>
            </w:r>
          </w:p>
        </w:tc>
        <w:tc>
          <w:tcPr>
            <w:tcW w:w="983"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   </w:t>
            </w:r>
          </w:p>
        </w:tc>
        <w:tc>
          <w:tcPr>
            <w:tcW w:w="1177"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222.92 </w:t>
            </w:r>
          </w:p>
        </w:tc>
        <w:tc>
          <w:tcPr>
            <w:tcW w:w="1116"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19.90 </w:t>
            </w:r>
          </w:p>
        </w:tc>
        <w:tc>
          <w:tcPr>
            <w:tcW w:w="1376"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242.83 </w:t>
            </w:r>
          </w:p>
        </w:tc>
      </w:tr>
      <w:tr w:rsidR="00961041" w:rsidRPr="00961041" w:rsidTr="00961041">
        <w:trPr>
          <w:trHeight w:val="255"/>
        </w:trPr>
        <w:tc>
          <w:tcPr>
            <w:tcW w:w="2835" w:type="dxa"/>
            <w:tcBorders>
              <w:top w:val="nil"/>
              <w:left w:val="nil"/>
              <w:bottom w:val="nil"/>
              <w:right w:val="nil"/>
            </w:tcBorders>
            <w:shd w:val="clear" w:color="auto" w:fill="auto"/>
            <w:noWrap/>
            <w:vAlign w:val="bottom"/>
            <w:hideMark/>
          </w:tcPr>
          <w:p w:rsidR="00961041" w:rsidRPr="00961041" w:rsidRDefault="00961041">
            <w:r w:rsidRPr="00961041">
              <w:t>Personal Income ($000's)</w:t>
            </w:r>
          </w:p>
        </w:tc>
        <w:tc>
          <w:tcPr>
            <w:tcW w:w="1121"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   </w:t>
            </w:r>
          </w:p>
        </w:tc>
        <w:tc>
          <w:tcPr>
            <w:tcW w:w="983"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   </w:t>
            </w:r>
          </w:p>
        </w:tc>
        <w:tc>
          <w:tcPr>
            <w:tcW w:w="1177"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79.56 </w:t>
            </w:r>
          </w:p>
        </w:tc>
        <w:tc>
          <w:tcPr>
            <w:tcW w:w="1116"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7.10 </w:t>
            </w:r>
          </w:p>
        </w:tc>
        <w:tc>
          <w:tcPr>
            <w:tcW w:w="1376"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86.67 </w:t>
            </w:r>
          </w:p>
        </w:tc>
      </w:tr>
      <w:tr w:rsidR="00961041" w:rsidRPr="00961041" w:rsidTr="00961041">
        <w:trPr>
          <w:trHeight w:val="255"/>
        </w:trPr>
        <w:tc>
          <w:tcPr>
            <w:tcW w:w="2835" w:type="dxa"/>
            <w:tcBorders>
              <w:top w:val="nil"/>
              <w:left w:val="nil"/>
              <w:bottom w:val="nil"/>
              <w:right w:val="nil"/>
            </w:tcBorders>
            <w:shd w:val="clear" w:color="auto" w:fill="auto"/>
            <w:noWrap/>
            <w:vAlign w:val="bottom"/>
            <w:hideMark/>
          </w:tcPr>
          <w:p w:rsidR="00961041" w:rsidRPr="00961041" w:rsidRDefault="00961041">
            <w:r w:rsidRPr="00961041">
              <w:t>Jobs</w:t>
            </w:r>
          </w:p>
        </w:tc>
        <w:tc>
          <w:tcPr>
            <w:tcW w:w="1121"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w:t>
            </w:r>
          </w:p>
        </w:tc>
        <w:tc>
          <w:tcPr>
            <w:tcW w:w="983"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   </w:t>
            </w:r>
          </w:p>
        </w:tc>
        <w:tc>
          <w:tcPr>
            <w:tcW w:w="1177"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4.32 </w:t>
            </w:r>
          </w:p>
        </w:tc>
        <w:tc>
          <w:tcPr>
            <w:tcW w:w="1116"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0.39 </w:t>
            </w:r>
          </w:p>
        </w:tc>
        <w:tc>
          <w:tcPr>
            <w:tcW w:w="1376" w:type="dxa"/>
            <w:tcBorders>
              <w:top w:val="nil"/>
              <w:left w:val="nil"/>
              <w:bottom w:val="nil"/>
              <w:right w:val="nil"/>
            </w:tcBorders>
            <w:shd w:val="clear" w:color="auto" w:fill="auto"/>
            <w:noWrap/>
            <w:vAlign w:val="bottom"/>
            <w:hideMark/>
          </w:tcPr>
          <w:p w:rsidR="00961041" w:rsidRPr="00961041" w:rsidRDefault="00961041">
            <w:pPr>
              <w:jc w:val="center"/>
            </w:pPr>
            <w:r w:rsidRPr="00961041">
              <w:t xml:space="preserve">              4.70 </w:t>
            </w:r>
          </w:p>
        </w:tc>
      </w:tr>
      <w:tr w:rsidR="00961041" w:rsidRPr="00961041" w:rsidTr="00961041">
        <w:trPr>
          <w:trHeight w:val="255"/>
        </w:trPr>
        <w:tc>
          <w:tcPr>
            <w:tcW w:w="2835" w:type="dxa"/>
            <w:tcBorders>
              <w:top w:val="nil"/>
              <w:left w:val="nil"/>
              <w:bottom w:val="single" w:sz="4" w:space="0" w:color="auto"/>
              <w:right w:val="nil"/>
            </w:tcBorders>
            <w:shd w:val="clear" w:color="auto" w:fill="auto"/>
            <w:noWrap/>
            <w:vAlign w:val="bottom"/>
            <w:hideMark/>
          </w:tcPr>
          <w:p w:rsidR="00961041" w:rsidRPr="00961041" w:rsidRDefault="00961041">
            <w:r w:rsidRPr="00961041">
              <w:t>Value added ($000's)</w:t>
            </w:r>
          </w:p>
        </w:tc>
        <w:tc>
          <w:tcPr>
            <w:tcW w:w="1121" w:type="dxa"/>
            <w:tcBorders>
              <w:top w:val="nil"/>
              <w:left w:val="nil"/>
              <w:bottom w:val="single" w:sz="4" w:space="0" w:color="auto"/>
              <w:right w:val="nil"/>
            </w:tcBorders>
            <w:shd w:val="clear" w:color="auto" w:fill="auto"/>
            <w:noWrap/>
            <w:vAlign w:val="bottom"/>
            <w:hideMark/>
          </w:tcPr>
          <w:p w:rsidR="00961041" w:rsidRPr="00961041" w:rsidRDefault="00961041">
            <w:pPr>
              <w:jc w:val="center"/>
            </w:pPr>
            <w:r w:rsidRPr="00961041">
              <w:t xml:space="preserve"> $            -   </w:t>
            </w:r>
          </w:p>
        </w:tc>
        <w:tc>
          <w:tcPr>
            <w:tcW w:w="983" w:type="dxa"/>
            <w:tcBorders>
              <w:top w:val="nil"/>
              <w:left w:val="nil"/>
              <w:bottom w:val="single" w:sz="4" w:space="0" w:color="auto"/>
              <w:right w:val="nil"/>
            </w:tcBorders>
            <w:shd w:val="clear" w:color="auto" w:fill="auto"/>
            <w:noWrap/>
            <w:vAlign w:val="bottom"/>
            <w:hideMark/>
          </w:tcPr>
          <w:p w:rsidR="00961041" w:rsidRPr="00961041" w:rsidRDefault="00961041">
            <w:pPr>
              <w:jc w:val="center"/>
            </w:pPr>
            <w:r w:rsidRPr="00961041">
              <w:t xml:space="preserve"> $          -   </w:t>
            </w:r>
          </w:p>
        </w:tc>
        <w:tc>
          <w:tcPr>
            <w:tcW w:w="1177" w:type="dxa"/>
            <w:tcBorders>
              <w:top w:val="nil"/>
              <w:left w:val="nil"/>
              <w:bottom w:val="single" w:sz="4" w:space="0" w:color="auto"/>
              <w:right w:val="nil"/>
            </w:tcBorders>
            <w:shd w:val="clear" w:color="auto" w:fill="auto"/>
            <w:noWrap/>
            <w:vAlign w:val="bottom"/>
            <w:hideMark/>
          </w:tcPr>
          <w:p w:rsidR="00961041" w:rsidRPr="00961041" w:rsidRDefault="00961041">
            <w:pPr>
              <w:jc w:val="center"/>
            </w:pPr>
            <w:r w:rsidRPr="00961041">
              <w:t xml:space="preserve"> $   125.91 </w:t>
            </w:r>
          </w:p>
        </w:tc>
        <w:tc>
          <w:tcPr>
            <w:tcW w:w="1116" w:type="dxa"/>
            <w:tcBorders>
              <w:top w:val="nil"/>
              <w:left w:val="nil"/>
              <w:bottom w:val="single" w:sz="4" w:space="0" w:color="auto"/>
              <w:right w:val="nil"/>
            </w:tcBorders>
            <w:shd w:val="clear" w:color="auto" w:fill="auto"/>
            <w:noWrap/>
            <w:vAlign w:val="bottom"/>
            <w:hideMark/>
          </w:tcPr>
          <w:p w:rsidR="00961041" w:rsidRPr="00961041" w:rsidRDefault="00961041">
            <w:pPr>
              <w:jc w:val="center"/>
            </w:pPr>
            <w:r w:rsidRPr="00961041">
              <w:t xml:space="preserve"> $     11.24 </w:t>
            </w:r>
          </w:p>
        </w:tc>
        <w:tc>
          <w:tcPr>
            <w:tcW w:w="1376" w:type="dxa"/>
            <w:tcBorders>
              <w:top w:val="nil"/>
              <w:left w:val="nil"/>
              <w:bottom w:val="single" w:sz="4" w:space="0" w:color="auto"/>
              <w:right w:val="nil"/>
            </w:tcBorders>
            <w:shd w:val="clear" w:color="auto" w:fill="auto"/>
            <w:noWrap/>
            <w:vAlign w:val="bottom"/>
            <w:hideMark/>
          </w:tcPr>
          <w:p w:rsidR="00961041" w:rsidRPr="00961041" w:rsidRDefault="00961041">
            <w:pPr>
              <w:jc w:val="center"/>
            </w:pPr>
            <w:r w:rsidRPr="00961041">
              <w:t xml:space="preserve"> $       137.15 </w:t>
            </w:r>
          </w:p>
        </w:tc>
      </w:tr>
    </w:tbl>
    <w:p w:rsidR="00054600" w:rsidRDefault="00054600" w:rsidP="007873FF">
      <w:pPr>
        <w:autoSpaceDE w:val="0"/>
        <w:autoSpaceDN w:val="0"/>
        <w:adjustRightInd w:val="0"/>
        <w:spacing w:line="400" w:lineRule="atLeast"/>
        <w:ind w:left="720" w:hanging="720"/>
      </w:pPr>
    </w:p>
    <w:p w:rsidR="004D531C" w:rsidRDefault="004D531C" w:rsidP="007873FF">
      <w:pPr>
        <w:autoSpaceDE w:val="0"/>
        <w:autoSpaceDN w:val="0"/>
        <w:adjustRightInd w:val="0"/>
        <w:spacing w:line="400" w:lineRule="atLeast"/>
        <w:ind w:left="720" w:hanging="720"/>
      </w:pPr>
    </w:p>
    <w:p w:rsidR="00897F3C" w:rsidRDefault="00897F3C" w:rsidP="007873FF">
      <w:pPr>
        <w:autoSpaceDE w:val="0"/>
        <w:autoSpaceDN w:val="0"/>
        <w:adjustRightInd w:val="0"/>
        <w:spacing w:line="400" w:lineRule="atLeast"/>
        <w:ind w:left="720" w:hanging="720"/>
      </w:pPr>
    </w:p>
    <w:p w:rsidR="004D531C" w:rsidRDefault="004D531C" w:rsidP="007873FF">
      <w:pPr>
        <w:autoSpaceDE w:val="0"/>
        <w:autoSpaceDN w:val="0"/>
        <w:adjustRightInd w:val="0"/>
        <w:spacing w:line="400" w:lineRule="atLeast"/>
        <w:ind w:left="720" w:hanging="720"/>
      </w:pPr>
    </w:p>
    <w:p w:rsidR="004D531C" w:rsidRDefault="004D531C" w:rsidP="007873FF">
      <w:pPr>
        <w:autoSpaceDE w:val="0"/>
        <w:autoSpaceDN w:val="0"/>
        <w:adjustRightInd w:val="0"/>
        <w:spacing w:line="400" w:lineRule="atLeast"/>
        <w:ind w:left="720" w:hanging="720"/>
      </w:pPr>
    </w:p>
    <w:p w:rsidR="004D531C" w:rsidRDefault="004D531C" w:rsidP="007873FF">
      <w:pPr>
        <w:autoSpaceDE w:val="0"/>
        <w:autoSpaceDN w:val="0"/>
        <w:adjustRightInd w:val="0"/>
        <w:spacing w:line="400" w:lineRule="atLeast"/>
        <w:ind w:left="720" w:hanging="720"/>
      </w:pPr>
    </w:p>
    <w:p w:rsidR="004D531C" w:rsidRDefault="004D531C" w:rsidP="007873FF">
      <w:pPr>
        <w:autoSpaceDE w:val="0"/>
        <w:autoSpaceDN w:val="0"/>
        <w:adjustRightInd w:val="0"/>
        <w:spacing w:line="400" w:lineRule="atLeast"/>
        <w:ind w:left="720" w:hanging="720"/>
      </w:pPr>
    </w:p>
    <w:p w:rsidR="004D531C" w:rsidRDefault="004D531C" w:rsidP="007873FF">
      <w:pPr>
        <w:autoSpaceDE w:val="0"/>
        <w:autoSpaceDN w:val="0"/>
        <w:adjustRightInd w:val="0"/>
        <w:spacing w:line="400" w:lineRule="atLeast"/>
        <w:ind w:left="720" w:hanging="720"/>
      </w:pPr>
    </w:p>
    <w:p w:rsidR="00093C73" w:rsidRDefault="00093C73" w:rsidP="00D73340">
      <w:pPr>
        <w:autoSpaceDE w:val="0"/>
        <w:autoSpaceDN w:val="0"/>
        <w:adjustRightInd w:val="0"/>
        <w:spacing w:line="400" w:lineRule="atLeast"/>
        <w:ind w:left="720" w:hanging="720"/>
      </w:pPr>
    </w:p>
    <w:p w:rsidR="00D73340" w:rsidRDefault="00D73340" w:rsidP="00D73340">
      <w:pPr>
        <w:autoSpaceDE w:val="0"/>
        <w:autoSpaceDN w:val="0"/>
        <w:adjustRightInd w:val="0"/>
        <w:spacing w:line="400" w:lineRule="atLeast"/>
        <w:ind w:left="720" w:hanging="720"/>
      </w:pPr>
    </w:p>
    <w:p w:rsidR="00D73340" w:rsidRDefault="00D73340" w:rsidP="00D73340">
      <w:pPr>
        <w:autoSpaceDE w:val="0"/>
        <w:autoSpaceDN w:val="0"/>
        <w:adjustRightInd w:val="0"/>
        <w:spacing w:line="400" w:lineRule="atLeast"/>
        <w:ind w:left="720" w:hanging="720"/>
      </w:pPr>
    </w:p>
    <w:p w:rsidR="00D73340" w:rsidRDefault="00D73340" w:rsidP="00D73340">
      <w:pPr>
        <w:autoSpaceDE w:val="0"/>
        <w:autoSpaceDN w:val="0"/>
        <w:adjustRightInd w:val="0"/>
        <w:spacing w:line="400" w:lineRule="atLeast"/>
        <w:ind w:left="720" w:hanging="720"/>
      </w:pPr>
    </w:p>
    <w:p w:rsidR="00D73340" w:rsidRDefault="00D73340" w:rsidP="00D73340">
      <w:pPr>
        <w:autoSpaceDE w:val="0"/>
        <w:autoSpaceDN w:val="0"/>
        <w:adjustRightInd w:val="0"/>
        <w:spacing w:line="400" w:lineRule="atLeast"/>
        <w:ind w:left="720" w:hanging="720"/>
      </w:pPr>
    </w:p>
    <w:p w:rsidR="00D73340" w:rsidRDefault="00D73340" w:rsidP="00D73340">
      <w:pPr>
        <w:autoSpaceDE w:val="0"/>
        <w:autoSpaceDN w:val="0"/>
        <w:adjustRightInd w:val="0"/>
        <w:spacing w:line="400" w:lineRule="atLeast"/>
        <w:ind w:left="720" w:hanging="720"/>
      </w:pPr>
    </w:p>
    <w:p w:rsidR="00036BF8" w:rsidRDefault="008E7BD4" w:rsidP="00D95908">
      <w:pPr>
        <w:autoSpaceDE w:val="0"/>
        <w:autoSpaceDN w:val="0"/>
        <w:adjustRightInd w:val="0"/>
        <w:spacing w:line="400" w:lineRule="atLeast"/>
        <w:ind w:left="720" w:hanging="720"/>
      </w:pPr>
      <w:r>
        <w:lastRenderedPageBreak/>
        <w:t>Table 2</w:t>
      </w:r>
      <w:r w:rsidR="00D95908">
        <w:t xml:space="preserve"> public perception responses to proposed whitewater course</w:t>
      </w:r>
    </w:p>
    <w:tbl>
      <w:tblPr>
        <w:tblStyle w:val="TableGrid"/>
        <w:tblW w:w="0" w:type="auto"/>
        <w:tblLook w:val="04A0" w:firstRow="1" w:lastRow="0" w:firstColumn="1" w:lastColumn="0" w:noHBand="0" w:noVBand="1"/>
      </w:tblPr>
      <w:tblGrid>
        <w:gridCol w:w="3192"/>
        <w:gridCol w:w="3192"/>
        <w:gridCol w:w="3192"/>
      </w:tblGrid>
      <w:tr w:rsidR="00506CA1" w:rsidTr="00E92108">
        <w:tc>
          <w:tcPr>
            <w:tcW w:w="3192" w:type="dxa"/>
          </w:tcPr>
          <w:p w:rsidR="00506CA1" w:rsidRDefault="00506CA1" w:rsidP="00E92108">
            <w:pPr>
              <w:spacing w:line="480" w:lineRule="auto"/>
              <w:jc w:val="center"/>
            </w:pPr>
            <w:r>
              <w:t>Question</w:t>
            </w:r>
          </w:p>
        </w:tc>
        <w:tc>
          <w:tcPr>
            <w:tcW w:w="3192" w:type="dxa"/>
          </w:tcPr>
          <w:p w:rsidR="00506CA1" w:rsidRDefault="00506CA1" w:rsidP="00E92108">
            <w:pPr>
              <w:spacing w:line="480" w:lineRule="auto"/>
              <w:jc w:val="center"/>
            </w:pPr>
            <w:r>
              <w:t>Response</w:t>
            </w:r>
          </w:p>
        </w:tc>
        <w:tc>
          <w:tcPr>
            <w:tcW w:w="3192" w:type="dxa"/>
          </w:tcPr>
          <w:p w:rsidR="00506CA1" w:rsidRDefault="00506CA1" w:rsidP="00E92108">
            <w:pPr>
              <w:spacing w:line="480" w:lineRule="auto"/>
              <w:jc w:val="center"/>
            </w:pPr>
            <w:r>
              <w:t xml:space="preserve">Response </w:t>
            </w:r>
          </w:p>
        </w:tc>
      </w:tr>
      <w:tr w:rsidR="00506CA1" w:rsidTr="00E92108">
        <w:tc>
          <w:tcPr>
            <w:tcW w:w="3192" w:type="dxa"/>
          </w:tcPr>
          <w:p w:rsidR="00506CA1" w:rsidRPr="00B13D90" w:rsidRDefault="00506CA1" w:rsidP="00E92108">
            <w:r w:rsidRPr="00B13D90">
              <w:rPr>
                <w:bCs/>
                <w:color w:val="000000"/>
              </w:rPr>
              <w:t>Are You A Resident of Warren County?</w:t>
            </w:r>
          </w:p>
        </w:tc>
        <w:tc>
          <w:tcPr>
            <w:tcW w:w="3192" w:type="dxa"/>
          </w:tcPr>
          <w:p w:rsidR="00506CA1" w:rsidRDefault="00506CA1" w:rsidP="00E92108">
            <w:pPr>
              <w:spacing w:line="480" w:lineRule="auto"/>
              <w:jc w:val="center"/>
            </w:pPr>
            <w:r>
              <w:t>96.3% yes</w:t>
            </w:r>
          </w:p>
        </w:tc>
        <w:tc>
          <w:tcPr>
            <w:tcW w:w="3192" w:type="dxa"/>
          </w:tcPr>
          <w:p w:rsidR="00506CA1" w:rsidRDefault="00506CA1" w:rsidP="00E92108">
            <w:pPr>
              <w:spacing w:line="480" w:lineRule="auto"/>
              <w:jc w:val="center"/>
            </w:pPr>
            <w:r>
              <w:t>3.7% no</w:t>
            </w:r>
          </w:p>
        </w:tc>
      </w:tr>
      <w:tr w:rsidR="00506CA1" w:rsidTr="00E92108">
        <w:tc>
          <w:tcPr>
            <w:tcW w:w="3192" w:type="dxa"/>
          </w:tcPr>
          <w:p w:rsidR="00506CA1" w:rsidRPr="00B13D90" w:rsidRDefault="00506CA1" w:rsidP="00E92108">
            <w:pPr>
              <w:rPr>
                <w:bCs/>
                <w:color w:val="000000"/>
              </w:rPr>
            </w:pPr>
            <w:r w:rsidRPr="00B13D90">
              <w:rPr>
                <w:bCs/>
                <w:color w:val="000000"/>
              </w:rPr>
              <w:t>What Zip Code Do You Live In?</w:t>
            </w:r>
          </w:p>
          <w:p w:rsidR="00506CA1" w:rsidRPr="00B13D90" w:rsidRDefault="00506CA1" w:rsidP="00E92108">
            <w:pPr>
              <w:rPr>
                <w:bCs/>
                <w:color w:val="000000"/>
              </w:rPr>
            </w:pPr>
            <w:r w:rsidRPr="00B13D90">
              <w:rPr>
                <w:bCs/>
                <w:color w:val="000000"/>
              </w:rPr>
              <w:t xml:space="preserve">     42101</w:t>
            </w:r>
          </w:p>
          <w:p w:rsidR="00506CA1" w:rsidRPr="00B13D90" w:rsidRDefault="00506CA1" w:rsidP="00E92108">
            <w:pPr>
              <w:rPr>
                <w:bCs/>
                <w:color w:val="000000"/>
              </w:rPr>
            </w:pPr>
            <w:r w:rsidRPr="00B13D90">
              <w:rPr>
                <w:bCs/>
                <w:color w:val="000000"/>
              </w:rPr>
              <w:t xml:space="preserve">     42103</w:t>
            </w:r>
          </w:p>
          <w:p w:rsidR="00506CA1" w:rsidRPr="00B13D90" w:rsidRDefault="00506CA1" w:rsidP="00E92108">
            <w:r w:rsidRPr="00B13D90">
              <w:rPr>
                <w:bCs/>
                <w:color w:val="000000"/>
              </w:rPr>
              <w:t xml:space="preserve">     42104</w:t>
            </w:r>
          </w:p>
        </w:tc>
        <w:tc>
          <w:tcPr>
            <w:tcW w:w="3192" w:type="dxa"/>
          </w:tcPr>
          <w:p w:rsidR="00506CA1" w:rsidRDefault="00506CA1" w:rsidP="00E92108">
            <w:pPr>
              <w:jc w:val="center"/>
            </w:pPr>
          </w:p>
          <w:p w:rsidR="00506CA1" w:rsidRDefault="00506CA1" w:rsidP="00E92108">
            <w:pPr>
              <w:jc w:val="center"/>
            </w:pPr>
          </w:p>
          <w:p w:rsidR="00506CA1" w:rsidRDefault="00506CA1" w:rsidP="00E92108">
            <w:pPr>
              <w:jc w:val="center"/>
            </w:pPr>
            <w:r>
              <w:t>44.5%</w:t>
            </w:r>
          </w:p>
          <w:p w:rsidR="00506CA1" w:rsidRDefault="00506CA1" w:rsidP="00E92108">
            <w:pPr>
              <w:jc w:val="center"/>
            </w:pPr>
            <w:r>
              <w:t>22.5%</w:t>
            </w:r>
          </w:p>
          <w:p w:rsidR="00506CA1" w:rsidRDefault="00506CA1" w:rsidP="00E92108">
            <w:pPr>
              <w:jc w:val="center"/>
            </w:pPr>
            <w:r>
              <w:t>33%</w:t>
            </w:r>
          </w:p>
        </w:tc>
        <w:tc>
          <w:tcPr>
            <w:tcW w:w="3192" w:type="dxa"/>
          </w:tcPr>
          <w:p w:rsidR="00506CA1" w:rsidRDefault="00506CA1" w:rsidP="00E92108">
            <w:pPr>
              <w:jc w:val="center"/>
            </w:pPr>
          </w:p>
        </w:tc>
      </w:tr>
      <w:tr w:rsidR="00506CA1" w:rsidTr="00E92108">
        <w:tc>
          <w:tcPr>
            <w:tcW w:w="3192" w:type="dxa"/>
          </w:tcPr>
          <w:p w:rsidR="00506CA1" w:rsidRPr="00B13D90" w:rsidRDefault="00506CA1" w:rsidP="00E92108">
            <w:pPr>
              <w:rPr>
                <w:bCs/>
                <w:color w:val="000000"/>
              </w:rPr>
            </w:pPr>
            <w:r w:rsidRPr="00B13D90">
              <w:rPr>
                <w:bCs/>
                <w:color w:val="000000"/>
              </w:rPr>
              <w:t>Are You Male or Female?</w:t>
            </w:r>
          </w:p>
          <w:p w:rsidR="00506CA1" w:rsidRPr="00B13D90" w:rsidRDefault="00506CA1" w:rsidP="00E92108">
            <w:pPr>
              <w:rPr>
                <w:bCs/>
                <w:color w:val="000000"/>
              </w:rPr>
            </w:pPr>
            <w:r w:rsidRPr="00B13D90">
              <w:rPr>
                <w:bCs/>
                <w:color w:val="000000"/>
              </w:rPr>
              <w:t xml:space="preserve">     Male</w:t>
            </w:r>
          </w:p>
          <w:p w:rsidR="00506CA1" w:rsidRPr="00B13D90" w:rsidRDefault="00506CA1" w:rsidP="00E92108">
            <w:pPr>
              <w:rPr>
                <w:bCs/>
                <w:color w:val="000000"/>
              </w:rPr>
            </w:pPr>
            <w:r w:rsidRPr="00B13D90">
              <w:rPr>
                <w:bCs/>
                <w:color w:val="000000"/>
              </w:rPr>
              <w:t xml:space="preserve">     Female</w:t>
            </w:r>
          </w:p>
        </w:tc>
        <w:tc>
          <w:tcPr>
            <w:tcW w:w="3192" w:type="dxa"/>
          </w:tcPr>
          <w:p w:rsidR="00506CA1" w:rsidRDefault="00506CA1" w:rsidP="00E92108">
            <w:pPr>
              <w:jc w:val="center"/>
            </w:pPr>
          </w:p>
          <w:p w:rsidR="00506CA1" w:rsidRDefault="00506CA1" w:rsidP="00E92108">
            <w:pPr>
              <w:jc w:val="center"/>
            </w:pPr>
            <w:r>
              <w:t>52.3%</w:t>
            </w:r>
          </w:p>
          <w:p w:rsidR="00506CA1" w:rsidRDefault="00506CA1" w:rsidP="00E92108">
            <w:pPr>
              <w:jc w:val="center"/>
            </w:pPr>
            <w:r>
              <w:t>47.7%</w:t>
            </w:r>
          </w:p>
        </w:tc>
        <w:tc>
          <w:tcPr>
            <w:tcW w:w="3192" w:type="dxa"/>
          </w:tcPr>
          <w:p w:rsidR="00506CA1" w:rsidRDefault="00506CA1" w:rsidP="00E92108">
            <w:pPr>
              <w:jc w:val="center"/>
            </w:pPr>
          </w:p>
        </w:tc>
      </w:tr>
      <w:tr w:rsidR="00506CA1" w:rsidTr="00E92108">
        <w:tc>
          <w:tcPr>
            <w:tcW w:w="3192" w:type="dxa"/>
          </w:tcPr>
          <w:p w:rsidR="00506CA1" w:rsidRPr="00B13D90" w:rsidRDefault="00506CA1" w:rsidP="00E92108">
            <w:pPr>
              <w:rPr>
                <w:bCs/>
                <w:color w:val="000000"/>
              </w:rPr>
            </w:pPr>
            <w:r w:rsidRPr="00B13D90">
              <w:rPr>
                <w:bCs/>
                <w:color w:val="000000"/>
              </w:rPr>
              <w:t>What Age Group Do You Belong In?</w:t>
            </w:r>
          </w:p>
          <w:p w:rsidR="00506CA1" w:rsidRPr="00B13D90" w:rsidRDefault="00506CA1" w:rsidP="00E92108">
            <w:pPr>
              <w:rPr>
                <w:bCs/>
                <w:color w:val="000000"/>
              </w:rPr>
            </w:pPr>
            <w:r w:rsidRPr="00B13D90">
              <w:rPr>
                <w:bCs/>
                <w:color w:val="000000"/>
              </w:rPr>
              <w:t xml:space="preserve">     18 to 25</w:t>
            </w:r>
          </w:p>
          <w:p w:rsidR="00506CA1" w:rsidRPr="00B13D90" w:rsidRDefault="00506CA1" w:rsidP="00E92108">
            <w:pPr>
              <w:rPr>
                <w:bCs/>
                <w:color w:val="000000"/>
              </w:rPr>
            </w:pPr>
            <w:r w:rsidRPr="00B13D90">
              <w:rPr>
                <w:bCs/>
                <w:color w:val="000000"/>
              </w:rPr>
              <w:t xml:space="preserve">     26 to 40</w:t>
            </w:r>
          </w:p>
          <w:p w:rsidR="00506CA1" w:rsidRPr="00B13D90" w:rsidRDefault="00506CA1" w:rsidP="00E92108">
            <w:r w:rsidRPr="00B13D90">
              <w:rPr>
                <w:bCs/>
                <w:color w:val="000000"/>
              </w:rPr>
              <w:t xml:space="preserve">     41 &amp; Older</w:t>
            </w:r>
          </w:p>
        </w:tc>
        <w:tc>
          <w:tcPr>
            <w:tcW w:w="3192" w:type="dxa"/>
          </w:tcPr>
          <w:p w:rsidR="00506CA1" w:rsidRDefault="00506CA1" w:rsidP="00E92108">
            <w:pPr>
              <w:jc w:val="center"/>
            </w:pPr>
          </w:p>
          <w:p w:rsidR="00506CA1" w:rsidRDefault="00506CA1" w:rsidP="00E92108">
            <w:pPr>
              <w:jc w:val="center"/>
            </w:pPr>
          </w:p>
          <w:p w:rsidR="00506CA1" w:rsidRDefault="00506CA1" w:rsidP="00E92108">
            <w:pPr>
              <w:jc w:val="center"/>
            </w:pPr>
            <w:r>
              <w:t>15.1%</w:t>
            </w:r>
          </w:p>
          <w:p w:rsidR="00506CA1" w:rsidRDefault="00506CA1" w:rsidP="00E92108">
            <w:pPr>
              <w:jc w:val="center"/>
            </w:pPr>
            <w:r>
              <w:t>36.2%</w:t>
            </w:r>
          </w:p>
          <w:p w:rsidR="00506CA1" w:rsidRDefault="00506CA1" w:rsidP="00E92108">
            <w:pPr>
              <w:jc w:val="center"/>
            </w:pPr>
            <w:r>
              <w:t>48.6%</w:t>
            </w:r>
          </w:p>
        </w:tc>
        <w:tc>
          <w:tcPr>
            <w:tcW w:w="3192" w:type="dxa"/>
          </w:tcPr>
          <w:p w:rsidR="00506CA1" w:rsidRDefault="00506CA1" w:rsidP="00E92108">
            <w:pPr>
              <w:jc w:val="center"/>
            </w:pPr>
          </w:p>
        </w:tc>
      </w:tr>
      <w:tr w:rsidR="00506CA1" w:rsidTr="00E92108">
        <w:tc>
          <w:tcPr>
            <w:tcW w:w="3192" w:type="dxa"/>
          </w:tcPr>
          <w:p w:rsidR="00506CA1" w:rsidRPr="00B13D90" w:rsidRDefault="00506CA1" w:rsidP="00E92108">
            <w:r w:rsidRPr="00B13D90">
              <w:rPr>
                <w:bCs/>
                <w:color w:val="000000"/>
              </w:rPr>
              <w:t>Have You Heard About Possible Whitewater Course Coming to Bowling Green?</w:t>
            </w:r>
          </w:p>
        </w:tc>
        <w:tc>
          <w:tcPr>
            <w:tcW w:w="3192" w:type="dxa"/>
          </w:tcPr>
          <w:p w:rsidR="00506CA1" w:rsidRDefault="00506CA1" w:rsidP="00E92108">
            <w:pPr>
              <w:jc w:val="center"/>
            </w:pPr>
          </w:p>
          <w:p w:rsidR="00506CA1" w:rsidRDefault="00506CA1" w:rsidP="00E92108">
            <w:pPr>
              <w:jc w:val="center"/>
            </w:pPr>
            <w:r>
              <w:t>76.6% yes</w:t>
            </w:r>
          </w:p>
        </w:tc>
        <w:tc>
          <w:tcPr>
            <w:tcW w:w="3192" w:type="dxa"/>
          </w:tcPr>
          <w:p w:rsidR="00506CA1" w:rsidRDefault="00506CA1" w:rsidP="00E92108">
            <w:pPr>
              <w:jc w:val="center"/>
            </w:pPr>
          </w:p>
          <w:p w:rsidR="00506CA1" w:rsidRDefault="00506CA1" w:rsidP="00E92108">
            <w:pPr>
              <w:jc w:val="center"/>
            </w:pPr>
            <w:r>
              <w:t>23.4% no</w:t>
            </w:r>
          </w:p>
        </w:tc>
      </w:tr>
      <w:tr w:rsidR="00506CA1" w:rsidTr="00E92108">
        <w:tc>
          <w:tcPr>
            <w:tcW w:w="3192" w:type="dxa"/>
          </w:tcPr>
          <w:p w:rsidR="00506CA1" w:rsidRPr="00B13D90" w:rsidRDefault="00506CA1" w:rsidP="00E92108">
            <w:r w:rsidRPr="00B13D90">
              <w:rPr>
                <w:bCs/>
                <w:color w:val="000000"/>
              </w:rPr>
              <w:t>Are You Interested in A Whitewater Course in Bowling Green?</w:t>
            </w:r>
          </w:p>
        </w:tc>
        <w:tc>
          <w:tcPr>
            <w:tcW w:w="3192" w:type="dxa"/>
          </w:tcPr>
          <w:p w:rsidR="00506CA1" w:rsidRDefault="00506CA1" w:rsidP="00E92108">
            <w:pPr>
              <w:jc w:val="center"/>
            </w:pPr>
          </w:p>
          <w:p w:rsidR="00506CA1" w:rsidRDefault="00506CA1" w:rsidP="00E92108">
            <w:pPr>
              <w:jc w:val="center"/>
            </w:pPr>
            <w:r>
              <w:t>72% yes</w:t>
            </w:r>
          </w:p>
        </w:tc>
        <w:tc>
          <w:tcPr>
            <w:tcW w:w="3192" w:type="dxa"/>
          </w:tcPr>
          <w:p w:rsidR="00506CA1" w:rsidRDefault="00506CA1" w:rsidP="00E92108">
            <w:pPr>
              <w:jc w:val="center"/>
            </w:pPr>
          </w:p>
          <w:p w:rsidR="00506CA1" w:rsidRDefault="00506CA1" w:rsidP="00E92108">
            <w:pPr>
              <w:jc w:val="center"/>
            </w:pPr>
            <w:r>
              <w:t>28% no</w:t>
            </w:r>
          </w:p>
        </w:tc>
      </w:tr>
      <w:tr w:rsidR="00506CA1" w:rsidTr="00E92108">
        <w:tc>
          <w:tcPr>
            <w:tcW w:w="3192" w:type="dxa"/>
          </w:tcPr>
          <w:p w:rsidR="00506CA1" w:rsidRPr="00B13D90" w:rsidRDefault="00506CA1" w:rsidP="00E92108">
            <w:r w:rsidRPr="00B13D90">
              <w:rPr>
                <w:bCs/>
                <w:color w:val="000000"/>
              </w:rPr>
              <w:t>Would you Support The Whitewater Course in Bowling Green if it Produced A Positive Economic Impact?</w:t>
            </w:r>
          </w:p>
        </w:tc>
        <w:tc>
          <w:tcPr>
            <w:tcW w:w="3192" w:type="dxa"/>
          </w:tcPr>
          <w:p w:rsidR="00506CA1" w:rsidRDefault="00506CA1" w:rsidP="00E92108">
            <w:pPr>
              <w:jc w:val="center"/>
            </w:pPr>
          </w:p>
          <w:p w:rsidR="00506CA1" w:rsidRDefault="00506CA1" w:rsidP="00E92108">
            <w:pPr>
              <w:jc w:val="center"/>
            </w:pPr>
          </w:p>
          <w:p w:rsidR="00506CA1" w:rsidRDefault="00506CA1" w:rsidP="00E92108">
            <w:pPr>
              <w:jc w:val="center"/>
            </w:pPr>
            <w:r>
              <w:t>87.2% yes</w:t>
            </w:r>
          </w:p>
        </w:tc>
        <w:tc>
          <w:tcPr>
            <w:tcW w:w="3192" w:type="dxa"/>
          </w:tcPr>
          <w:p w:rsidR="00506CA1" w:rsidRDefault="00506CA1" w:rsidP="00E92108">
            <w:pPr>
              <w:jc w:val="center"/>
            </w:pPr>
          </w:p>
          <w:p w:rsidR="00506CA1" w:rsidRDefault="00506CA1" w:rsidP="00E92108">
            <w:pPr>
              <w:jc w:val="center"/>
            </w:pPr>
          </w:p>
          <w:p w:rsidR="00506CA1" w:rsidRDefault="00506CA1" w:rsidP="00E92108">
            <w:pPr>
              <w:jc w:val="center"/>
            </w:pPr>
            <w:r>
              <w:t>12.8% no</w:t>
            </w:r>
          </w:p>
        </w:tc>
      </w:tr>
      <w:tr w:rsidR="00506CA1" w:rsidTr="00E92108">
        <w:tc>
          <w:tcPr>
            <w:tcW w:w="3192" w:type="dxa"/>
          </w:tcPr>
          <w:p w:rsidR="00506CA1" w:rsidRPr="00B13D90" w:rsidRDefault="00506CA1" w:rsidP="00E92108">
            <w:r w:rsidRPr="00B13D90">
              <w:rPr>
                <w:bCs/>
                <w:color w:val="000000"/>
              </w:rPr>
              <w:t>If Outside Funding Helped Build The Course Would you Support the Whitewater Course?</w:t>
            </w:r>
          </w:p>
        </w:tc>
        <w:tc>
          <w:tcPr>
            <w:tcW w:w="3192" w:type="dxa"/>
          </w:tcPr>
          <w:p w:rsidR="00506CA1" w:rsidRDefault="00506CA1" w:rsidP="00E92108">
            <w:pPr>
              <w:jc w:val="center"/>
            </w:pPr>
          </w:p>
          <w:p w:rsidR="00506CA1" w:rsidRDefault="00506CA1" w:rsidP="00E92108">
            <w:pPr>
              <w:jc w:val="center"/>
            </w:pPr>
            <w:r>
              <w:t>83% yes</w:t>
            </w:r>
          </w:p>
        </w:tc>
        <w:tc>
          <w:tcPr>
            <w:tcW w:w="3192" w:type="dxa"/>
          </w:tcPr>
          <w:p w:rsidR="00506CA1" w:rsidRDefault="00506CA1" w:rsidP="00E92108">
            <w:pPr>
              <w:jc w:val="center"/>
            </w:pPr>
          </w:p>
          <w:p w:rsidR="00506CA1" w:rsidRDefault="00506CA1" w:rsidP="00E92108">
            <w:pPr>
              <w:jc w:val="center"/>
            </w:pPr>
            <w:r>
              <w:t>17% no</w:t>
            </w:r>
          </w:p>
        </w:tc>
      </w:tr>
      <w:tr w:rsidR="00506CA1" w:rsidTr="00E92108">
        <w:tc>
          <w:tcPr>
            <w:tcW w:w="3192" w:type="dxa"/>
          </w:tcPr>
          <w:p w:rsidR="00506CA1" w:rsidRPr="00B13D90" w:rsidRDefault="00506CA1" w:rsidP="00E92108">
            <w:r w:rsidRPr="00B13D90">
              <w:rPr>
                <w:bCs/>
                <w:color w:val="000000"/>
              </w:rPr>
              <w:t>Would you Support the Whitewater Course if it Improved Fishing Opportunities?</w:t>
            </w:r>
          </w:p>
        </w:tc>
        <w:tc>
          <w:tcPr>
            <w:tcW w:w="3192" w:type="dxa"/>
          </w:tcPr>
          <w:p w:rsidR="00506CA1" w:rsidRDefault="00506CA1" w:rsidP="00E92108">
            <w:pPr>
              <w:jc w:val="center"/>
            </w:pPr>
          </w:p>
          <w:p w:rsidR="00506CA1" w:rsidRDefault="00506CA1" w:rsidP="00E92108">
            <w:pPr>
              <w:jc w:val="center"/>
            </w:pPr>
            <w:r>
              <w:t>74.3% yes</w:t>
            </w:r>
          </w:p>
        </w:tc>
        <w:tc>
          <w:tcPr>
            <w:tcW w:w="3192" w:type="dxa"/>
          </w:tcPr>
          <w:p w:rsidR="00506CA1" w:rsidRDefault="00506CA1" w:rsidP="00E92108">
            <w:pPr>
              <w:jc w:val="center"/>
            </w:pPr>
          </w:p>
          <w:p w:rsidR="00506CA1" w:rsidRDefault="00506CA1" w:rsidP="00E92108">
            <w:pPr>
              <w:jc w:val="center"/>
            </w:pPr>
            <w:r>
              <w:t>25.7% no</w:t>
            </w:r>
          </w:p>
        </w:tc>
      </w:tr>
      <w:tr w:rsidR="00506CA1" w:rsidTr="00E92108">
        <w:tc>
          <w:tcPr>
            <w:tcW w:w="3192" w:type="dxa"/>
          </w:tcPr>
          <w:p w:rsidR="00506CA1" w:rsidRPr="00B13D90" w:rsidRDefault="00506CA1" w:rsidP="00E92108">
            <w:r w:rsidRPr="00B13D90">
              <w:rPr>
                <w:bCs/>
                <w:color w:val="000000"/>
              </w:rPr>
              <w:t>Would you Support the Whitewater Course if it was Used to Train EMS Personnel?</w:t>
            </w:r>
          </w:p>
        </w:tc>
        <w:tc>
          <w:tcPr>
            <w:tcW w:w="3192" w:type="dxa"/>
          </w:tcPr>
          <w:p w:rsidR="00506CA1" w:rsidRDefault="00506CA1" w:rsidP="00E92108">
            <w:pPr>
              <w:jc w:val="center"/>
            </w:pPr>
          </w:p>
          <w:p w:rsidR="00506CA1" w:rsidRDefault="00506CA1" w:rsidP="00E92108">
            <w:pPr>
              <w:jc w:val="center"/>
            </w:pPr>
            <w:r>
              <w:t>88.1% yes</w:t>
            </w:r>
          </w:p>
        </w:tc>
        <w:tc>
          <w:tcPr>
            <w:tcW w:w="3192" w:type="dxa"/>
          </w:tcPr>
          <w:p w:rsidR="00506CA1" w:rsidRDefault="00506CA1" w:rsidP="00E92108">
            <w:pPr>
              <w:jc w:val="center"/>
            </w:pPr>
          </w:p>
          <w:p w:rsidR="00506CA1" w:rsidRDefault="00506CA1" w:rsidP="00E92108">
            <w:pPr>
              <w:jc w:val="center"/>
            </w:pPr>
            <w:r>
              <w:t>11.9% no</w:t>
            </w:r>
          </w:p>
        </w:tc>
      </w:tr>
      <w:tr w:rsidR="00506CA1" w:rsidTr="00E92108">
        <w:tc>
          <w:tcPr>
            <w:tcW w:w="3192" w:type="dxa"/>
          </w:tcPr>
          <w:p w:rsidR="00506CA1" w:rsidRPr="00B13D90" w:rsidRDefault="00506CA1" w:rsidP="00E92108">
            <w:r w:rsidRPr="00B13D90">
              <w:rPr>
                <w:bCs/>
                <w:color w:val="000000"/>
              </w:rPr>
              <w:t>Would you Support the Whitewater Course if it better utilized the closed Landfill?</w:t>
            </w:r>
          </w:p>
        </w:tc>
        <w:tc>
          <w:tcPr>
            <w:tcW w:w="3192" w:type="dxa"/>
          </w:tcPr>
          <w:p w:rsidR="00506CA1" w:rsidRDefault="00506CA1" w:rsidP="00E92108">
            <w:pPr>
              <w:jc w:val="center"/>
            </w:pPr>
          </w:p>
          <w:p w:rsidR="00506CA1" w:rsidRDefault="00506CA1" w:rsidP="00E92108">
            <w:pPr>
              <w:jc w:val="center"/>
            </w:pPr>
            <w:r>
              <w:t>85.8% yes</w:t>
            </w:r>
          </w:p>
        </w:tc>
        <w:tc>
          <w:tcPr>
            <w:tcW w:w="3192" w:type="dxa"/>
          </w:tcPr>
          <w:p w:rsidR="00506CA1" w:rsidRDefault="00506CA1" w:rsidP="00E92108">
            <w:pPr>
              <w:jc w:val="center"/>
            </w:pPr>
          </w:p>
          <w:p w:rsidR="00506CA1" w:rsidRDefault="00506CA1" w:rsidP="00E92108">
            <w:pPr>
              <w:jc w:val="center"/>
            </w:pPr>
            <w:r>
              <w:t>14.2% no</w:t>
            </w:r>
          </w:p>
        </w:tc>
      </w:tr>
    </w:tbl>
    <w:p w:rsidR="00093C73" w:rsidRDefault="00093C73" w:rsidP="00506CA1">
      <w:pPr>
        <w:autoSpaceDE w:val="0"/>
        <w:autoSpaceDN w:val="0"/>
        <w:adjustRightInd w:val="0"/>
        <w:spacing w:line="400" w:lineRule="atLeast"/>
        <w:ind w:left="720" w:hanging="720"/>
      </w:pPr>
    </w:p>
    <w:sectPr w:rsidR="00093C73" w:rsidSect="00A2573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A17" w:rsidRDefault="002E7A17" w:rsidP="00EA1DAA">
      <w:r>
        <w:separator/>
      </w:r>
    </w:p>
  </w:endnote>
  <w:endnote w:type="continuationSeparator" w:id="0">
    <w:p w:rsidR="002E7A17" w:rsidRDefault="002E7A17" w:rsidP="00EA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A17" w:rsidRDefault="002E7A17" w:rsidP="00EA1DAA">
      <w:r>
        <w:separator/>
      </w:r>
    </w:p>
  </w:footnote>
  <w:footnote w:type="continuationSeparator" w:id="0">
    <w:p w:rsidR="002E7A17" w:rsidRDefault="002E7A17" w:rsidP="00EA1D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102" w:rsidRDefault="007D5102">
    <w:pPr>
      <w:pStyle w:val="Header"/>
      <w:jc w:val="right"/>
    </w:pPr>
    <w:r>
      <w:t xml:space="preserve"> Economic Impact &amp; Whitewater Courses </w:t>
    </w:r>
    <w:sdt>
      <w:sdtPr>
        <w:id w:val="3605172"/>
        <w:docPartObj>
          <w:docPartGallery w:val="Page Numbers (Top of Page)"/>
          <w:docPartUnique/>
        </w:docPartObj>
      </w:sdtPr>
      <w:sdtEndPr/>
      <w:sdtContent>
        <w:r w:rsidR="002E7A17">
          <w:fldChar w:fldCharType="begin"/>
        </w:r>
        <w:r w:rsidR="002E7A17">
          <w:instrText xml:space="preserve"> PAGE   \* MERGEFORMAT </w:instrText>
        </w:r>
        <w:r w:rsidR="002E7A17">
          <w:fldChar w:fldCharType="separate"/>
        </w:r>
        <w:r w:rsidR="004D7614">
          <w:rPr>
            <w:noProof/>
          </w:rPr>
          <w:t>1</w:t>
        </w:r>
        <w:r w:rsidR="002E7A17">
          <w:rPr>
            <w:noProof/>
          </w:rPr>
          <w:fldChar w:fldCharType="end"/>
        </w:r>
      </w:sdtContent>
    </w:sdt>
  </w:p>
  <w:p w:rsidR="007D5102" w:rsidRDefault="007D5102" w:rsidP="00EA1DA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73D"/>
    <w:rsid w:val="00000A05"/>
    <w:rsid w:val="00024437"/>
    <w:rsid w:val="000263E3"/>
    <w:rsid w:val="000348DD"/>
    <w:rsid w:val="00036BF8"/>
    <w:rsid w:val="0004139E"/>
    <w:rsid w:val="0005318E"/>
    <w:rsid w:val="00054600"/>
    <w:rsid w:val="0005488F"/>
    <w:rsid w:val="00061E44"/>
    <w:rsid w:val="00066523"/>
    <w:rsid w:val="000850B0"/>
    <w:rsid w:val="0009379D"/>
    <w:rsid w:val="00093C73"/>
    <w:rsid w:val="000B4DD9"/>
    <w:rsid w:val="000E08EF"/>
    <w:rsid w:val="000F51FF"/>
    <w:rsid w:val="0012508D"/>
    <w:rsid w:val="001266F2"/>
    <w:rsid w:val="001569C8"/>
    <w:rsid w:val="001706B5"/>
    <w:rsid w:val="0018101B"/>
    <w:rsid w:val="00181244"/>
    <w:rsid w:val="001862EB"/>
    <w:rsid w:val="0019770B"/>
    <w:rsid w:val="001C2BBD"/>
    <w:rsid w:val="001C512F"/>
    <w:rsid w:val="001D5010"/>
    <w:rsid w:val="001D6116"/>
    <w:rsid w:val="001F77AF"/>
    <w:rsid w:val="00206F77"/>
    <w:rsid w:val="00211FEC"/>
    <w:rsid w:val="00227D1F"/>
    <w:rsid w:val="002445A3"/>
    <w:rsid w:val="00244F6F"/>
    <w:rsid w:val="002546E8"/>
    <w:rsid w:val="0026130D"/>
    <w:rsid w:val="00283724"/>
    <w:rsid w:val="00292046"/>
    <w:rsid w:val="0029502E"/>
    <w:rsid w:val="002E7A17"/>
    <w:rsid w:val="00302E93"/>
    <w:rsid w:val="003060C7"/>
    <w:rsid w:val="003218D6"/>
    <w:rsid w:val="0032794A"/>
    <w:rsid w:val="00336F63"/>
    <w:rsid w:val="00341E48"/>
    <w:rsid w:val="00342BDD"/>
    <w:rsid w:val="00352038"/>
    <w:rsid w:val="0036027A"/>
    <w:rsid w:val="00366B12"/>
    <w:rsid w:val="00375BD1"/>
    <w:rsid w:val="00391421"/>
    <w:rsid w:val="003A0F51"/>
    <w:rsid w:val="003A6CDA"/>
    <w:rsid w:val="003B1536"/>
    <w:rsid w:val="003B4DE4"/>
    <w:rsid w:val="003B5088"/>
    <w:rsid w:val="003E1C15"/>
    <w:rsid w:val="003E318B"/>
    <w:rsid w:val="003F1ECF"/>
    <w:rsid w:val="004144C0"/>
    <w:rsid w:val="00433EE3"/>
    <w:rsid w:val="00445099"/>
    <w:rsid w:val="004520C1"/>
    <w:rsid w:val="004627BB"/>
    <w:rsid w:val="00475E9F"/>
    <w:rsid w:val="00492B16"/>
    <w:rsid w:val="004B0995"/>
    <w:rsid w:val="004D49A8"/>
    <w:rsid w:val="004D531C"/>
    <w:rsid w:val="004D7614"/>
    <w:rsid w:val="00506CA1"/>
    <w:rsid w:val="00511277"/>
    <w:rsid w:val="00512290"/>
    <w:rsid w:val="00546524"/>
    <w:rsid w:val="0056637D"/>
    <w:rsid w:val="0059340B"/>
    <w:rsid w:val="005B5772"/>
    <w:rsid w:val="005C322D"/>
    <w:rsid w:val="005C5B94"/>
    <w:rsid w:val="005D1BC6"/>
    <w:rsid w:val="005F75C5"/>
    <w:rsid w:val="00601596"/>
    <w:rsid w:val="0060487F"/>
    <w:rsid w:val="006107AD"/>
    <w:rsid w:val="006169A8"/>
    <w:rsid w:val="006225AA"/>
    <w:rsid w:val="00637A84"/>
    <w:rsid w:val="0064147C"/>
    <w:rsid w:val="00667DBA"/>
    <w:rsid w:val="00671614"/>
    <w:rsid w:val="006738D1"/>
    <w:rsid w:val="00680151"/>
    <w:rsid w:val="00697A94"/>
    <w:rsid w:val="006C38EB"/>
    <w:rsid w:val="006C6AAF"/>
    <w:rsid w:val="006D0E15"/>
    <w:rsid w:val="006E2664"/>
    <w:rsid w:val="006E288A"/>
    <w:rsid w:val="00703679"/>
    <w:rsid w:val="007076EA"/>
    <w:rsid w:val="00717A0E"/>
    <w:rsid w:val="00757922"/>
    <w:rsid w:val="00761F49"/>
    <w:rsid w:val="00780214"/>
    <w:rsid w:val="007873FF"/>
    <w:rsid w:val="00796A04"/>
    <w:rsid w:val="007A148F"/>
    <w:rsid w:val="007D5102"/>
    <w:rsid w:val="007E1B90"/>
    <w:rsid w:val="007E4364"/>
    <w:rsid w:val="00803737"/>
    <w:rsid w:val="00804D3B"/>
    <w:rsid w:val="0081699A"/>
    <w:rsid w:val="0083516C"/>
    <w:rsid w:val="00836D70"/>
    <w:rsid w:val="008933C0"/>
    <w:rsid w:val="00897F3C"/>
    <w:rsid w:val="008A026C"/>
    <w:rsid w:val="008B1731"/>
    <w:rsid w:val="008B5236"/>
    <w:rsid w:val="008D6D6B"/>
    <w:rsid w:val="008E7BD4"/>
    <w:rsid w:val="008F3D76"/>
    <w:rsid w:val="00937162"/>
    <w:rsid w:val="00953EAE"/>
    <w:rsid w:val="00954193"/>
    <w:rsid w:val="009555C8"/>
    <w:rsid w:val="00956A68"/>
    <w:rsid w:val="00961041"/>
    <w:rsid w:val="009746D4"/>
    <w:rsid w:val="00976977"/>
    <w:rsid w:val="00987DEA"/>
    <w:rsid w:val="00994FEF"/>
    <w:rsid w:val="0099719C"/>
    <w:rsid w:val="009A2131"/>
    <w:rsid w:val="009B2C2E"/>
    <w:rsid w:val="009C005E"/>
    <w:rsid w:val="009C13D2"/>
    <w:rsid w:val="009C4062"/>
    <w:rsid w:val="009D1764"/>
    <w:rsid w:val="009D5409"/>
    <w:rsid w:val="009D784E"/>
    <w:rsid w:val="009F1236"/>
    <w:rsid w:val="00A2573D"/>
    <w:rsid w:val="00A2659D"/>
    <w:rsid w:val="00A35029"/>
    <w:rsid w:val="00A41432"/>
    <w:rsid w:val="00A43AD5"/>
    <w:rsid w:val="00A82CB5"/>
    <w:rsid w:val="00AC4AF6"/>
    <w:rsid w:val="00AD4D7D"/>
    <w:rsid w:val="00AE38E0"/>
    <w:rsid w:val="00AF7DB7"/>
    <w:rsid w:val="00B32ED8"/>
    <w:rsid w:val="00B3405D"/>
    <w:rsid w:val="00B5781C"/>
    <w:rsid w:val="00B64CE6"/>
    <w:rsid w:val="00B7192F"/>
    <w:rsid w:val="00B77130"/>
    <w:rsid w:val="00B86F3A"/>
    <w:rsid w:val="00B90339"/>
    <w:rsid w:val="00B976FD"/>
    <w:rsid w:val="00BC1270"/>
    <w:rsid w:val="00BC12F4"/>
    <w:rsid w:val="00BC56F6"/>
    <w:rsid w:val="00BD6148"/>
    <w:rsid w:val="00C2586E"/>
    <w:rsid w:val="00C330E2"/>
    <w:rsid w:val="00C40E35"/>
    <w:rsid w:val="00C60A05"/>
    <w:rsid w:val="00C62546"/>
    <w:rsid w:val="00C6276D"/>
    <w:rsid w:val="00C63A1C"/>
    <w:rsid w:val="00C74373"/>
    <w:rsid w:val="00C80926"/>
    <w:rsid w:val="00C811CB"/>
    <w:rsid w:val="00CA3373"/>
    <w:rsid w:val="00CB1F0F"/>
    <w:rsid w:val="00CF24B1"/>
    <w:rsid w:val="00D00AD6"/>
    <w:rsid w:val="00D17360"/>
    <w:rsid w:val="00D55942"/>
    <w:rsid w:val="00D57B2C"/>
    <w:rsid w:val="00D73340"/>
    <w:rsid w:val="00D80A4D"/>
    <w:rsid w:val="00D863AD"/>
    <w:rsid w:val="00D95908"/>
    <w:rsid w:val="00D97B3C"/>
    <w:rsid w:val="00DA39A1"/>
    <w:rsid w:val="00DA6449"/>
    <w:rsid w:val="00DB05FE"/>
    <w:rsid w:val="00DB49CA"/>
    <w:rsid w:val="00DC5979"/>
    <w:rsid w:val="00DD1A28"/>
    <w:rsid w:val="00E04443"/>
    <w:rsid w:val="00E20425"/>
    <w:rsid w:val="00E35A82"/>
    <w:rsid w:val="00E37BAE"/>
    <w:rsid w:val="00E56534"/>
    <w:rsid w:val="00E60DB6"/>
    <w:rsid w:val="00E64AF0"/>
    <w:rsid w:val="00E70F67"/>
    <w:rsid w:val="00E759E7"/>
    <w:rsid w:val="00E76C67"/>
    <w:rsid w:val="00E92108"/>
    <w:rsid w:val="00E95093"/>
    <w:rsid w:val="00EA1DAA"/>
    <w:rsid w:val="00EA47B1"/>
    <w:rsid w:val="00EB10A8"/>
    <w:rsid w:val="00EC2EE4"/>
    <w:rsid w:val="00EC5344"/>
    <w:rsid w:val="00EC7E71"/>
    <w:rsid w:val="00ED4F19"/>
    <w:rsid w:val="00EE2669"/>
    <w:rsid w:val="00EE484A"/>
    <w:rsid w:val="00F00910"/>
    <w:rsid w:val="00F14CD1"/>
    <w:rsid w:val="00F22604"/>
    <w:rsid w:val="00F51A6B"/>
    <w:rsid w:val="00F61514"/>
    <w:rsid w:val="00F82262"/>
    <w:rsid w:val="00F82DBC"/>
    <w:rsid w:val="00FA5BAF"/>
    <w:rsid w:val="00FA64EE"/>
    <w:rsid w:val="00FD445D"/>
    <w:rsid w:val="00FE2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E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1DAA"/>
    <w:pPr>
      <w:tabs>
        <w:tab w:val="center" w:pos="4680"/>
        <w:tab w:val="right" w:pos="9360"/>
      </w:tabs>
    </w:pPr>
  </w:style>
  <w:style w:type="character" w:customStyle="1" w:styleId="HeaderChar">
    <w:name w:val="Header Char"/>
    <w:basedOn w:val="DefaultParagraphFont"/>
    <w:link w:val="Header"/>
    <w:uiPriority w:val="99"/>
    <w:rsid w:val="00EA1DAA"/>
    <w:rPr>
      <w:sz w:val="24"/>
      <w:szCs w:val="24"/>
    </w:rPr>
  </w:style>
  <w:style w:type="paragraph" w:styleId="Footer">
    <w:name w:val="footer"/>
    <w:basedOn w:val="Normal"/>
    <w:link w:val="FooterChar"/>
    <w:rsid w:val="00EA1DAA"/>
    <w:pPr>
      <w:tabs>
        <w:tab w:val="center" w:pos="4680"/>
        <w:tab w:val="right" w:pos="9360"/>
      </w:tabs>
    </w:pPr>
  </w:style>
  <w:style w:type="character" w:customStyle="1" w:styleId="FooterChar">
    <w:name w:val="Footer Char"/>
    <w:basedOn w:val="DefaultParagraphFont"/>
    <w:link w:val="Footer"/>
    <w:rsid w:val="00EA1DAA"/>
    <w:rPr>
      <w:sz w:val="24"/>
      <w:szCs w:val="24"/>
    </w:rPr>
  </w:style>
  <w:style w:type="paragraph" w:styleId="BalloonText">
    <w:name w:val="Balloon Text"/>
    <w:basedOn w:val="Normal"/>
    <w:link w:val="BalloonTextChar"/>
    <w:rsid w:val="004B0995"/>
    <w:rPr>
      <w:rFonts w:ascii="Tahoma" w:hAnsi="Tahoma" w:cs="Tahoma"/>
      <w:sz w:val="16"/>
      <w:szCs w:val="16"/>
    </w:rPr>
  </w:style>
  <w:style w:type="character" w:customStyle="1" w:styleId="BalloonTextChar">
    <w:name w:val="Balloon Text Char"/>
    <w:basedOn w:val="DefaultParagraphFont"/>
    <w:link w:val="BalloonText"/>
    <w:rsid w:val="004B0995"/>
    <w:rPr>
      <w:rFonts w:ascii="Tahoma" w:hAnsi="Tahoma" w:cs="Tahoma"/>
      <w:sz w:val="16"/>
      <w:szCs w:val="16"/>
    </w:rPr>
  </w:style>
  <w:style w:type="character" w:styleId="CommentReference">
    <w:name w:val="annotation reference"/>
    <w:basedOn w:val="DefaultParagraphFont"/>
    <w:rsid w:val="00667DBA"/>
    <w:rPr>
      <w:sz w:val="16"/>
      <w:szCs w:val="16"/>
    </w:rPr>
  </w:style>
  <w:style w:type="paragraph" w:styleId="CommentText">
    <w:name w:val="annotation text"/>
    <w:basedOn w:val="Normal"/>
    <w:link w:val="CommentTextChar"/>
    <w:rsid w:val="00667DBA"/>
    <w:rPr>
      <w:sz w:val="20"/>
      <w:szCs w:val="20"/>
    </w:rPr>
  </w:style>
  <w:style w:type="character" w:customStyle="1" w:styleId="CommentTextChar">
    <w:name w:val="Comment Text Char"/>
    <w:basedOn w:val="DefaultParagraphFont"/>
    <w:link w:val="CommentText"/>
    <w:rsid w:val="00667DBA"/>
  </w:style>
  <w:style w:type="paragraph" w:styleId="CommentSubject">
    <w:name w:val="annotation subject"/>
    <w:basedOn w:val="CommentText"/>
    <w:next w:val="CommentText"/>
    <w:link w:val="CommentSubjectChar"/>
    <w:rsid w:val="00667DBA"/>
    <w:rPr>
      <w:b/>
      <w:bCs/>
    </w:rPr>
  </w:style>
  <w:style w:type="character" w:customStyle="1" w:styleId="CommentSubjectChar">
    <w:name w:val="Comment Subject Char"/>
    <w:basedOn w:val="CommentTextChar"/>
    <w:link w:val="CommentSubject"/>
    <w:rsid w:val="00667DBA"/>
    <w:rPr>
      <w:b/>
      <w:bCs/>
    </w:rPr>
  </w:style>
  <w:style w:type="table" w:styleId="TableGrid">
    <w:name w:val="Table Grid"/>
    <w:basedOn w:val="TableNormal"/>
    <w:rsid w:val="00637A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E9210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2E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1DAA"/>
    <w:pPr>
      <w:tabs>
        <w:tab w:val="center" w:pos="4680"/>
        <w:tab w:val="right" w:pos="9360"/>
      </w:tabs>
    </w:pPr>
  </w:style>
  <w:style w:type="character" w:customStyle="1" w:styleId="HeaderChar">
    <w:name w:val="Header Char"/>
    <w:basedOn w:val="DefaultParagraphFont"/>
    <w:link w:val="Header"/>
    <w:uiPriority w:val="99"/>
    <w:rsid w:val="00EA1DAA"/>
    <w:rPr>
      <w:sz w:val="24"/>
      <w:szCs w:val="24"/>
    </w:rPr>
  </w:style>
  <w:style w:type="paragraph" w:styleId="Footer">
    <w:name w:val="footer"/>
    <w:basedOn w:val="Normal"/>
    <w:link w:val="FooterChar"/>
    <w:rsid w:val="00EA1DAA"/>
    <w:pPr>
      <w:tabs>
        <w:tab w:val="center" w:pos="4680"/>
        <w:tab w:val="right" w:pos="9360"/>
      </w:tabs>
    </w:pPr>
  </w:style>
  <w:style w:type="character" w:customStyle="1" w:styleId="FooterChar">
    <w:name w:val="Footer Char"/>
    <w:basedOn w:val="DefaultParagraphFont"/>
    <w:link w:val="Footer"/>
    <w:rsid w:val="00EA1DAA"/>
    <w:rPr>
      <w:sz w:val="24"/>
      <w:szCs w:val="24"/>
    </w:rPr>
  </w:style>
  <w:style w:type="paragraph" w:styleId="BalloonText">
    <w:name w:val="Balloon Text"/>
    <w:basedOn w:val="Normal"/>
    <w:link w:val="BalloonTextChar"/>
    <w:rsid w:val="004B0995"/>
    <w:rPr>
      <w:rFonts w:ascii="Tahoma" w:hAnsi="Tahoma" w:cs="Tahoma"/>
      <w:sz w:val="16"/>
      <w:szCs w:val="16"/>
    </w:rPr>
  </w:style>
  <w:style w:type="character" w:customStyle="1" w:styleId="BalloonTextChar">
    <w:name w:val="Balloon Text Char"/>
    <w:basedOn w:val="DefaultParagraphFont"/>
    <w:link w:val="BalloonText"/>
    <w:rsid w:val="004B0995"/>
    <w:rPr>
      <w:rFonts w:ascii="Tahoma" w:hAnsi="Tahoma" w:cs="Tahoma"/>
      <w:sz w:val="16"/>
      <w:szCs w:val="16"/>
    </w:rPr>
  </w:style>
  <w:style w:type="character" w:styleId="CommentReference">
    <w:name w:val="annotation reference"/>
    <w:basedOn w:val="DefaultParagraphFont"/>
    <w:rsid w:val="00667DBA"/>
    <w:rPr>
      <w:sz w:val="16"/>
      <w:szCs w:val="16"/>
    </w:rPr>
  </w:style>
  <w:style w:type="paragraph" w:styleId="CommentText">
    <w:name w:val="annotation text"/>
    <w:basedOn w:val="Normal"/>
    <w:link w:val="CommentTextChar"/>
    <w:rsid w:val="00667DBA"/>
    <w:rPr>
      <w:sz w:val="20"/>
      <w:szCs w:val="20"/>
    </w:rPr>
  </w:style>
  <w:style w:type="character" w:customStyle="1" w:styleId="CommentTextChar">
    <w:name w:val="Comment Text Char"/>
    <w:basedOn w:val="DefaultParagraphFont"/>
    <w:link w:val="CommentText"/>
    <w:rsid w:val="00667DBA"/>
  </w:style>
  <w:style w:type="paragraph" w:styleId="CommentSubject">
    <w:name w:val="annotation subject"/>
    <w:basedOn w:val="CommentText"/>
    <w:next w:val="CommentText"/>
    <w:link w:val="CommentSubjectChar"/>
    <w:rsid w:val="00667DBA"/>
    <w:rPr>
      <w:b/>
      <w:bCs/>
    </w:rPr>
  </w:style>
  <w:style w:type="character" w:customStyle="1" w:styleId="CommentSubjectChar">
    <w:name w:val="Comment Subject Char"/>
    <w:basedOn w:val="CommentTextChar"/>
    <w:link w:val="CommentSubject"/>
    <w:rsid w:val="00667DBA"/>
    <w:rPr>
      <w:b/>
      <w:bCs/>
    </w:rPr>
  </w:style>
  <w:style w:type="table" w:styleId="TableGrid">
    <w:name w:val="Table Grid"/>
    <w:basedOn w:val="TableNormal"/>
    <w:rsid w:val="00637A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E921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18285">
      <w:bodyDiv w:val="1"/>
      <w:marLeft w:val="0"/>
      <w:marRight w:val="0"/>
      <w:marTop w:val="0"/>
      <w:marBottom w:val="0"/>
      <w:divBdr>
        <w:top w:val="none" w:sz="0" w:space="0" w:color="auto"/>
        <w:left w:val="none" w:sz="0" w:space="0" w:color="auto"/>
        <w:bottom w:val="none" w:sz="0" w:space="0" w:color="auto"/>
        <w:right w:val="none" w:sz="0" w:space="0" w:color="auto"/>
      </w:divBdr>
    </w:div>
    <w:div w:id="1006329363">
      <w:bodyDiv w:val="1"/>
      <w:marLeft w:val="0"/>
      <w:marRight w:val="0"/>
      <w:marTop w:val="0"/>
      <w:marBottom w:val="0"/>
      <w:divBdr>
        <w:top w:val="none" w:sz="0" w:space="0" w:color="auto"/>
        <w:left w:val="none" w:sz="0" w:space="0" w:color="auto"/>
        <w:bottom w:val="none" w:sz="0" w:space="0" w:color="auto"/>
        <w:right w:val="none" w:sz="0" w:space="0" w:color="auto"/>
      </w:divBdr>
    </w:div>
    <w:div w:id="174371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eb4.canr.msu.edu/MGM2/"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D8301-A578-F946-AE96-00CC0756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3307</Words>
  <Characters>18855</Characters>
  <Application>Microsoft Macintosh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LarNet Reviewer</dc:creator>
  <cp:keywords/>
  <dc:description/>
  <cp:lastModifiedBy>Judy Ross</cp:lastModifiedBy>
  <cp:revision>2</cp:revision>
  <cp:lastPrinted>2009-02-23T15:05:00Z</cp:lastPrinted>
  <dcterms:created xsi:type="dcterms:W3CDTF">2015-07-31T22:23:00Z</dcterms:created>
  <dcterms:modified xsi:type="dcterms:W3CDTF">2015-07-31T22:23:00Z</dcterms:modified>
</cp:coreProperties>
</file>